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49C" w:rsidRPr="00EA07E8" w:rsidRDefault="0020749C" w:rsidP="0020749C">
      <w:pPr>
        <w:tabs>
          <w:tab w:val="left" w:pos="620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SEJARAH WAKAF DI INDONSIA</w:t>
      </w:r>
      <w:bookmarkStart w:id="0" w:name="_GoBack"/>
      <w:bookmarkEnd w:id="0"/>
    </w:p>
    <w:p w:rsidR="0020749C" w:rsidRDefault="0020749C" w:rsidP="0020749C">
      <w:pPr>
        <w:tabs>
          <w:tab w:val="left" w:pos="6201"/>
        </w:tabs>
        <w:spacing w:after="0" w:line="240" w:lineRule="auto"/>
        <w:jc w:val="center"/>
        <w:rPr>
          <w:rFonts w:ascii="Times New Roman" w:hAnsi="Times New Roman" w:cs="Times New Roman"/>
          <w:b/>
          <w:sz w:val="28"/>
          <w:szCs w:val="28"/>
        </w:rPr>
      </w:pPr>
    </w:p>
    <w:p w:rsidR="0020749C" w:rsidRDefault="0020749C" w:rsidP="0020749C">
      <w:pPr>
        <w:tabs>
          <w:tab w:val="left" w:pos="620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J</w:t>
      </w:r>
    </w:p>
    <w:p w:rsidR="0020749C" w:rsidRDefault="0020749C" w:rsidP="0020749C">
      <w:pPr>
        <w:tabs>
          <w:tab w:val="left" w:pos="620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U</w:t>
      </w:r>
    </w:p>
    <w:p w:rsidR="0020749C" w:rsidRDefault="0020749C" w:rsidP="0020749C">
      <w:pPr>
        <w:tabs>
          <w:tab w:val="left" w:pos="620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w:t>
      </w:r>
    </w:p>
    <w:p w:rsidR="0020749C" w:rsidRDefault="0020749C" w:rsidP="0020749C">
      <w:pPr>
        <w:tabs>
          <w:tab w:val="left" w:pos="620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w:t>
      </w:r>
    </w:p>
    <w:p w:rsidR="0020749C" w:rsidRDefault="0020749C" w:rsidP="0020749C">
      <w:pPr>
        <w:tabs>
          <w:tab w:val="left" w:pos="620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w:t>
      </w:r>
    </w:p>
    <w:p w:rsidR="0020749C" w:rsidRPr="002F4751" w:rsidRDefault="0020749C" w:rsidP="0020749C">
      <w:pPr>
        <w:tabs>
          <w:tab w:val="left" w:pos="620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L</w:t>
      </w:r>
    </w:p>
    <w:p w:rsidR="0020749C" w:rsidRDefault="0020749C" w:rsidP="0020749C">
      <w:pPr>
        <w:tabs>
          <w:tab w:val="left" w:pos="6201"/>
        </w:tabs>
        <w:spacing w:after="0" w:line="480" w:lineRule="auto"/>
        <w:jc w:val="center"/>
        <w:rPr>
          <w:rFonts w:ascii="Times New Roman" w:hAnsi="Times New Roman" w:cs="Times New Roman"/>
          <w:b/>
          <w:sz w:val="28"/>
          <w:szCs w:val="28"/>
        </w:rPr>
      </w:pPr>
    </w:p>
    <w:p w:rsidR="0020749C" w:rsidRDefault="0020749C" w:rsidP="0020749C">
      <w:pPr>
        <w:tabs>
          <w:tab w:val="left" w:pos="6201"/>
        </w:tabs>
        <w:spacing w:after="0" w:line="480" w:lineRule="auto"/>
        <w:jc w:val="center"/>
        <w:rPr>
          <w:rFonts w:ascii="Times New Roman" w:hAnsi="Times New Roman" w:cs="Times New Roman"/>
          <w:sz w:val="24"/>
          <w:szCs w:val="24"/>
        </w:rPr>
      </w:pPr>
      <w:r w:rsidRPr="002F4751">
        <w:rPr>
          <w:rFonts w:ascii="Times New Roman" w:hAnsi="Times New Roman" w:cs="Times New Roman"/>
          <w:sz w:val="24"/>
          <w:szCs w:val="24"/>
        </w:rPr>
        <w:t>Mata Kuliah</w:t>
      </w:r>
      <w:r>
        <w:rPr>
          <w:rFonts w:ascii="Times New Roman" w:hAnsi="Times New Roman" w:cs="Times New Roman"/>
          <w:sz w:val="24"/>
          <w:szCs w:val="24"/>
        </w:rPr>
        <w:t>: Hukum Wakaf&amp;Zakat</w:t>
      </w:r>
    </w:p>
    <w:p w:rsidR="0020749C" w:rsidRDefault="0020749C" w:rsidP="0020749C">
      <w:pPr>
        <w:tabs>
          <w:tab w:val="left" w:pos="6201"/>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Dosen: Nurul Hakim, S Ag., M.A.</w:t>
      </w:r>
    </w:p>
    <w:p w:rsidR="0020749C" w:rsidRPr="002F4751" w:rsidRDefault="0020749C" w:rsidP="0020749C">
      <w:pPr>
        <w:tabs>
          <w:tab w:val="left" w:pos="6201"/>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Kelas: H-1/Pagi</w:t>
      </w:r>
    </w:p>
    <w:p w:rsidR="0020749C" w:rsidRPr="002F4751" w:rsidRDefault="0020749C" w:rsidP="0020749C">
      <w:pPr>
        <w:spacing w:after="0" w:line="480" w:lineRule="auto"/>
        <w:jc w:val="center"/>
        <w:rPr>
          <w:rFonts w:ascii="Times New Roman" w:hAnsi="Times New Roman" w:cs="Times New Roman"/>
          <w:sz w:val="24"/>
          <w:szCs w:val="24"/>
        </w:rPr>
      </w:pPr>
      <w:r w:rsidRPr="002F4751">
        <w:rPr>
          <w:rFonts w:ascii="Times New Roman" w:hAnsi="Times New Roman" w:cs="Times New Roman"/>
          <w:sz w:val="24"/>
          <w:szCs w:val="24"/>
        </w:rPr>
        <w:t>Disusun Oleh</w:t>
      </w:r>
    </w:p>
    <w:p w:rsidR="0020749C" w:rsidRPr="002F4751" w:rsidRDefault="0020749C" w:rsidP="002074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SHERA BANU : 1806200392</w:t>
      </w:r>
    </w:p>
    <w:p w:rsidR="0020749C" w:rsidRPr="002F4751" w:rsidRDefault="0020749C" w:rsidP="0020749C">
      <w:pPr>
        <w:spacing w:after="0" w:line="240" w:lineRule="auto"/>
        <w:rPr>
          <w:rFonts w:ascii="Times New Roman" w:hAnsi="Times New Roman" w:cs="Times New Roman"/>
          <w:sz w:val="24"/>
          <w:szCs w:val="24"/>
        </w:rPr>
      </w:pPr>
    </w:p>
    <w:p w:rsidR="0020749C" w:rsidRPr="006613B9" w:rsidRDefault="0020749C" w:rsidP="0020749C">
      <w:pPr>
        <w:spacing w:line="240" w:lineRule="auto"/>
        <w:jc w:val="center"/>
        <w:rPr>
          <w:rFonts w:ascii="Times New Roman" w:hAnsi="Times New Roman" w:cs="Times New Roman"/>
          <w:b/>
          <w:sz w:val="24"/>
          <w:szCs w:val="24"/>
        </w:rPr>
      </w:pPr>
      <w:r w:rsidRPr="006613B9">
        <w:rPr>
          <w:rFonts w:ascii="Times New Roman" w:hAnsi="Times New Roman" w:cs="Times New Roman"/>
          <w:b/>
          <w:noProof/>
          <w:sz w:val="24"/>
          <w:szCs w:val="24"/>
          <w:lang w:eastAsia="id-ID"/>
        </w:rPr>
        <w:drawing>
          <wp:inline distT="0" distB="0" distL="0" distR="0" wp14:anchorId="5A43DB53" wp14:editId="7841F35D">
            <wp:extent cx="1980000" cy="2795302"/>
            <wp:effectExtent l="0" t="0" r="1270" b="5080"/>
            <wp:docPr id="1" name="Picture 1" descr="C:\Users\ACER\Downloads\LOGO UMSU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LOGO UMSU BARU.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0000" cy="2795302"/>
                    </a:xfrm>
                    <a:prstGeom prst="rect">
                      <a:avLst/>
                    </a:prstGeom>
                    <a:noFill/>
                    <a:ln>
                      <a:noFill/>
                    </a:ln>
                  </pic:spPr>
                </pic:pic>
              </a:graphicData>
            </a:graphic>
          </wp:inline>
        </w:drawing>
      </w:r>
    </w:p>
    <w:p w:rsidR="0020749C" w:rsidRPr="00D20E79" w:rsidRDefault="0020749C" w:rsidP="0020749C">
      <w:pPr>
        <w:rPr>
          <w:rFonts w:ascii="Times New Roman" w:hAnsi="Times New Roman" w:cs="Times New Roman"/>
          <w:b/>
          <w:sz w:val="56"/>
          <w:szCs w:val="24"/>
        </w:rPr>
      </w:pPr>
    </w:p>
    <w:p w:rsidR="0020749C" w:rsidRPr="006613B9" w:rsidRDefault="0020749C" w:rsidP="0020749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FAKULTAS HUKUM </w:t>
      </w:r>
    </w:p>
    <w:p w:rsidR="0020749C" w:rsidRPr="006613B9" w:rsidRDefault="0020749C" w:rsidP="0020749C">
      <w:pPr>
        <w:spacing w:after="0" w:line="240" w:lineRule="auto"/>
        <w:jc w:val="center"/>
        <w:rPr>
          <w:rFonts w:ascii="Times New Roman" w:hAnsi="Times New Roman" w:cs="Times New Roman"/>
          <w:b/>
          <w:sz w:val="28"/>
          <w:szCs w:val="28"/>
        </w:rPr>
      </w:pPr>
      <w:r w:rsidRPr="006613B9">
        <w:rPr>
          <w:rFonts w:ascii="Times New Roman" w:hAnsi="Times New Roman" w:cs="Times New Roman"/>
          <w:b/>
          <w:sz w:val="28"/>
          <w:szCs w:val="28"/>
        </w:rPr>
        <w:t>UNIVERSITAS MUHAMMADIYAH SUMATERA UTARA</w:t>
      </w:r>
    </w:p>
    <w:p w:rsidR="0020749C" w:rsidRPr="006613B9" w:rsidRDefault="0020749C" w:rsidP="0020749C">
      <w:pPr>
        <w:spacing w:after="0" w:line="240" w:lineRule="auto"/>
        <w:jc w:val="center"/>
        <w:rPr>
          <w:rFonts w:ascii="Times New Roman" w:hAnsi="Times New Roman" w:cs="Times New Roman"/>
          <w:b/>
          <w:sz w:val="28"/>
          <w:szCs w:val="28"/>
        </w:rPr>
      </w:pPr>
      <w:r w:rsidRPr="006613B9">
        <w:rPr>
          <w:rFonts w:ascii="Times New Roman" w:hAnsi="Times New Roman" w:cs="Times New Roman"/>
          <w:b/>
          <w:sz w:val="28"/>
          <w:szCs w:val="28"/>
        </w:rPr>
        <w:t>MEDAN</w:t>
      </w:r>
    </w:p>
    <w:p w:rsidR="0020749C" w:rsidRDefault="0020749C" w:rsidP="0020749C">
      <w:pPr>
        <w:spacing w:after="0" w:line="240" w:lineRule="auto"/>
        <w:jc w:val="center"/>
        <w:rPr>
          <w:rFonts w:ascii="Times New Roman" w:hAnsi="Times New Roman" w:cs="Times New Roman"/>
          <w:b/>
          <w:sz w:val="28"/>
          <w:szCs w:val="28"/>
        </w:rPr>
      </w:pPr>
      <w:r w:rsidRPr="006613B9">
        <w:rPr>
          <w:rFonts w:ascii="Times New Roman" w:hAnsi="Times New Roman" w:cs="Times New Roman"/>
          <w:b/>
          <w:sz w:val="28"/>
          <w:szCs w:val="28"/>
        </w:rPr>
        <w:t>2019</w:t>
      </w:r>
    </w:p>
    <w:p w:rsidR="0020749C" w:rsidRDefault="0020749C" w:rsidP="00B16389">
      <w:pPr>
        <w:jc w:val="center"/>
        <w:rPr>
          <w:rFonts w:ascii="Times New Roman" w:hAnsi="Times New Roman" w:cs="Times New Roman"/>
          <w:b/>
          <w:sz w:val="28"/>
        </w:rPr>
      </w:pPr>
    </w:p>
    <w:p w:rsidR="0020749C" w:rsidRDefault="0020749C" w:rsidP="00B16389">
      <w:pPr>
        <w:jc w:val="center"/>
        <w:rPr>
          <w:rFonts w:ascii="Times New Roman" w:hAnsi="Times New Roman" w:cs="Times New Roman"/>
          <w:b/>
          <w:sz w:val="28"/>
        </w:rPr>
      </w:pPr>
    </w:p>
    <w:p w:rsidR="00135518" w:rsidRPr="00B16389" w:rsidRDefault="00B16389" w:rsidP="00B16389">
      <w:pPr>
        <w:jc w:val="center"/>
        <w:rPr>
          <w:rFonts w:ascii="Times New Roman" w:hAnsi="Times New Roman" w:cs="Times New Roman"/>
          <w:b/>
          <w:sz w:val="28"/>
        </w:rPr>
      </w:pPr>
      <w:r w:rsidRPr="00B16389">
        <w:rPr>
          <w:rFonts w:ascii="Times New Roman" w:hAnsi="Times New Roman" w:cs="Times New Roman"/>
          <w:b/>
          <w:sz w:val="28"/>
        </w:rPr>
        <w:lastRenderedPageBreak/>
        <w:t>SEJARAH WAKAF DI INDONESIA</w:t>
      </w:r>
    </w:p>
    <w:p w:rsidR="00B16389" w:rsidRDefault="00B16389" w:rsidP="00B16389">
      <w:pPr>
        <w:jc w:val="center"/>
        <w:rPr>
          <w:rFonts w:ascii="Times New Roman" w:hAnsi="Times New Roman" w:cs="Times New Roman"/>
          <w:b/>
          <w:sz w:val="28"/>
        </w:rPr>
      </w:pPr>
      <w:r w:rsidRPr="00B16389">
        <w:rPr>
          <w:rFonts w:ascii="Times New Roman" w:hAnsi="Times New Roman" w:cs="Times New Roman"/>
          <w:b/>
          <w:sz w:val="28"/>
        </w:rPr>
        <w:t>ABSTRAK</w:t>
      </w:r>
    </w:p>
    <w:p w:rsidR="00B16389" w:rsidRDefault="00B16389" w:rsidP="00B16389">
      <w:pPr>
        <w:jc w:val="both"/>
        <w:rPr>
          <w:rFonts w:ascii="Times New Roman" w:hAnsi="Times New Roman" w:cs="Times New Roman"/>
          <w:sz w:val="24"/>
        </w:rPr>
      </w:pPr>
      <w:r>
        <w:rPr>
          <w:rFonts w:ascii="Times New Roman" w:hAnsi="Times New Roman" w:cs="Times New Roman"/>
          <w:sz w:val="24"/>
        </w:rPr>
        <w:t xml:space="preserve">          </w:t>
      </w:r>
      <w:r w:rsidRPr="00B16389">
        <w:rPr>
          <w:rFonts w:ascii="Times New Roman" w:hAnsi="Times New Roman" w:cs="Times New Roman"/>
          <w:sz w:val="24"/>
        </w:rPr>
        <w:t>Praktek wakaf di Indonesia, wakaf sudah dikenal sejak masuknya Islam ke bumi nusantara. Kebutuhan sarana Ibadah dalam perkembangan dakwah Islam di Indonesia menjadikan wakaf sebagai sesuatu yang lazim dan memasyarakat. Seiring dengan perkembangan sosial masyarakat Islam dari waktu ke waktu praktik perwakafan mengalami kemajuan setahap demi setahap. Tradisi wakaf untuk tempat ibadah tetap bertahan dan mulai muncul wakaf lain untuk kegiatan pendidikan seperti untuk pendirian pesantren dan madrasah. Dalam periode berikutnya, corak pemanfaatan wakaf terus berkembang, sehingga mencakup pelayanan sosial kesehatan, seperti pendirian klinik dan panti asuhan. Wakaf seiring dengan sejarah perkembangannya mengalami kemajuan, dari awalnya lebih banyak bercorak pribadi dan terkesan tidak ada pengelolaan yang baik, hingga terjadi perkembangan sejak masa penjajahan, kemerdekaan hingga lahirnya Undang-Undang Nomor 41 Tahun 2004 Tentang Wakaf. Makalah ini fokus membahas sejarah perwakafan di Indonesia</w:t>
      </w:r>
      <w:r>
        <w:rPr>
          <w:rStyle w:val="FootnoteReference"/>
          <w:rFonts w:ascii="Times New Roman" w:hAnsi="Times New Roman" w:cs="Times New Roman"/>
          <w:sz w:val="24"/>
        </w:rPr>
        <w:footnoteReference w:id="1"/>
      </w:r>
    </w:p>
    <w:p w:rsidR="00B16389" w:rsidRDefault="00B16389" w:rsidP="00B16389">
      <w:pPr>
        <w:jc w:val="both"/>
        <w:rPr>
          <w:rFonts w:ascii="Times New Roman" w:hAnsi="Times New Roman" w:cs="Times New Roman"/>
          <w:bCs/>
          <w:sz w:val="24"/>
          <w:szCs w:val="24"/>
        </w:rPr>
      </w:pPr>
      <w:r>
        <w:rPr>
          <w:rFonts w:ascii="Times New Roman" w:hAnsi="Times New Roman" w:cs="Times New Roman"/>
          <w:sz w:val="24"/>
        </w:rPr>
        <w:t xml:space="preserve">          </w:t>
      </w:r>
      <w:r>
        <w:rPr>
          <w:rFonts w:ascii="Times New Roman" w:hAnsi="Times New Roman" w:cs="Times New Roman"/>
          <w:bCs/>
          <w:sz w:val="24"/>
          <w:szCs w:val="24"/>
        </w:rPr>
        <w:t>Wakaf merupakan bentuk muamalah maliyah (harta benda) yang sangat lama dan sudah di kenal oleh masyarakat sejak dahulu kala. Hal ini tidak lain karena Allah SWT mencipatakan manusia untuk mencintai kebaikan da melakukannya sejak ia dilahirkan hingga hidup di tengah-tengah masyarakat. Demikian juga Allah SWT telah menciptakan dua sifat yang berlawanan dalam diri manusia agar mereka mencintai yang lain, harus menghilangkan kecintaan pada dirinya sendiri. Karena perwakafan merupakan salah satu masalah yang penting dalam rangka hubungan antara hukum islam dengan hukum nasional. Dikatakan penting karena wakaf adalah suatau amalan-amalan kegiatan keagaman baik di bidang keagraiaan maupun bidang sarana fisik yang dapat digunakan sebagai pengembangan kehidupan keagamaanm khususnya umat islam dalam rangka mencapai kesejahteraan masyarakat baik sprituaal maupun materil menuju masyarakat yang adil dan makmur</w:t>
      </w:r>
      <w:r>
        <w:rPr>
          <w:rStyle w:val="FootnoteReference"/>
          <w:rFonts w:ascii="Times New Roman" w:hAnsi="Times New Roman" w:cs="Times New Roman"/>
          <w:sz w:val="24"/>
        </w:rPr>
        <w:footnoteReference w:id="2"/>
      </w:r>
    </w:p>
    <w:p w:rsidR="00B16389" w:rsidRDefault="00B16389" w:rsidP="00B16389">
      <w:pPr>
        <w:jc w:val="both"/>
        <w:rPr>
          <w:rFonts w:ascii="Times New Roman" w:hAnsi="Times New Roman" w:cs="Times New Roman"/>
          <w:sz w:val="24"/>
        </w:rPr>
      </w:pPr>
      <w:r w:rsidRPr="00B16389">
        <w:rPr>
          <w:rFonts w:ascii="Times New Roman" w:hAnsi="Times New Roman" w:cs="Times New Roman"/>
          <w:b/>
          <w:sz w:val="24"/>
        </w:rPr>
        <w:t>Kata Kunci</w:t>
      </w:r>
      <w:r w:rsidRPr="00B16389">
        <w:rPr>
          <w:rFonts w:ascii="Times New Roman" w:hAnsi="Times New Roman" w:cs="Times New Roman"/>
          <w:sz w:val="24"/>
        </w:rPr>
        <w:t xml:space="preserve"> : Sejarah  wakaf  Indonesia, Undang-undang wakaf, BW</w:t>
      </w:r>
    </w:p>
    <w:p w:rsidR="00B16389" w:rsidRDefault="00B16389" w:rsidP="00B16389">
      <w:pPr>
        <w:jc w:val="both"/>
        <w:rPr>
          <w:rFonts w:ascii="Times New Roman" w:hAnsi="Times New Roman" w:cs="Times New Roman"/>
          <w:sz w:val="24"/>
        </w:rPr>
      </w:pPr>
    </w:p>
    <w:p w:rsidR="00B16389" w:rsidRDefault="00B16389" w:rsidP="00B16389">
      <w:pPr>
        <w:jc w:val="both"/>
        <w:rPr>
          <w:rFonts w:ascii="Times New Roman" w:hAnsi="Times New Roman" w:cs="Times New Roman"/>
          <w:b/>
          <w:sz w:val="24"/>
        </w:rPr>
      </w:pPr>
      <w:r w:rsidRPr="00B16389">
        <w:rPr>
          <w:rFonts w:ascii="Times New Roman" w:hAnsi="Times New Roman" w:cs="Times New Roman"/>
          <w:b/>
          <w:sz w:val="24"/>
        </w:rPr>
        <w:t>A. Pendahuluan</w:t>
      </w:r>
    </w:p>
    <w:p w:rsidR="00B16389" w:rsidRDefault="00B16389" w:rsidP="00B16389">
      <w:pPr>
        <w:jc w:val="both"/>
        <w:rPr>
          <w:rFonts w:ascii="Times New Roman" w:hAnsi="Times New Roman" w:cs="Times New Roman"/>
          <w:sz w:val="24"/>
        </w:rPr>
      </w:pPr>
      <w:r>
        <w:rPr>
          <w:rFonts w:ascii="Times New Roman" w:hAnsi="Times New Roman" w:cs="Times New Roman"/>
          <w:sz w:val="24"/>
        </w:rPr>
        <w:t xml:space="preserve">          </w:t>
      </w:r>
      <w:r w:rsidRPr="00B16389">
        <w:rPr>
          <w:rFonts w:ascii="Times New Roman" w:hAnsi="Times New Roman" w:cs="Times New Roman"/>
          <w:sz w:val="24"/>
        </w:rPr>
        <w:t>Allah Swt menjadikan harta kenikmatan sekaligus ujian bagi manusia. berbahagilah manusia yang Allah Swt berikan harta kemudian ia menjadikan harta sebagai sarana taqarrub kepada-Nya dan menggunakan hartanya sesuai dengan ketentuan yang telah disyariatkan.</w:t>
      </w:r>
    </w:p>
    <w:p w:rsidR="00B16389" w:rsidRDefault="00B16389" w:rsidP="00B16389">
      <w:pPr>
        <w:jc w:val="both"/>
        <w:rPr>
          <w:rFonts w:ascii="Times New Roman" w:hAnsi="Times New Roman" w:cs="Times New Roman"/>
          <w:sz w:val="24"/>
        </w:rPr>
      </w:pPr>
      <w:r>
        <w:rPr>
          <w:rFonts w:ascii="Times New Roman" w:hAnsi="Times New Roman" w:cs="Times New Roman"/>
          <w:sz w:val="24"/>
        </w:rPr>
        <w:t xml:space="preserve">          </w:t>
      </w:r>
      <w:r w:rsidRPr="00B16389">
        <w:rPr>
          <w:rFonts w:ascii="Times New Roman" w:hAnsi="Times New Roman" w:cs="Times New Roman"/>
          <w:sz w:val="24"/>
        </w:rPr>
        <w:t xml:space="preserve">Berbeda dengan materialisme yang menjadikan harta sebagai  tujuan dan kebanggaan karenannya segala harta yang dimilikinya adalah mutlak kepemilikannya. Dalam Islam justru sebaliknya, semakin banyak harta justru semakin banyak amanah yang Allah bebankan kepadanya, amanah harta orang lain yang ia harus keluarkan dalam bentuk sedekah, infak, zakat dan wakaf. Yang disebut terakhir akan menjadi fokus pembahasan kita dalam makalah ini.  </w:t>
      </w:r>
    </w:p>
    <w:p w:rsidR="00B16389" w:rsidRDefault="00B16389" w:rsidP="00B16389">
      <w:pPr>
        <w:jc w:val="both"/>
        <w:rPr>
          <w:rFonts w:ascii="Times New Roman" w:hAnsi="Times New Roman" w:cs="Times New Roman"/>
          <w:sz w:val="24"/>
        </w:rPr>
      </w:pPr>
      <w:r>
        <w:rPr>
          <w:rFonts w:ascii="Times New Roman" w:hAnsi="Times New Roman" w:cs="Times New Roman"/>
          <w:sz w:val="24"/>
        </w:rPr>
        <w:lastRenderedPageBreak/>
        <w:t xml:space="preserve">          </w:t>
      </w:r>
      <w:r w:rsidRPr="00B16389">
        <w:rPr>
          <w:rFonts w:ascii="Times New Roman" w:hAnsi="Times New Roman" w:cs="Times New Roman"/>
          <w:sz w:val="24"/>
        </w:rPr>
        <w:t xml:space="preserve">Wakaf di samping sebagai salah satu aspek ajaran Islam yang berdimensi spiritual, wakaf juga merupakan ajaran yang menekankan pentingnya kesejahteraan ekonomi (dimensi sosial). Artinya wakaf didefinisikan sebagai salah satu bentuk pelepasan harta kekayaan oleh pemilik harta yang dimaksudkan untuk membangun sarana dan prasarana yang dibutuhkan oleh masyarakat, wakaf juga ditujukan untuk meningkatkan kesejahteraan kehidupan manusia. </w:t>
      </w:r>
    </w:p>
    <w:p w:rsidR="00B16389" w:rsidRDefault="00B16389" w:rsidP="00B16389">
      <w:pPr>
        <w:jc w:val="both"/>
        <w:rPr>
          <w:rFonts w:ascii="Times New Roman" w:hAnsi="Times New Roman" w:cs="Times New Roman"/>
          <w:sz w:val="24"/>
        </w:rPr>
      </w:pPr>
      <w:r>
        <w:rPr>
          <w:rFonts w:ascii="Times New Roman" w:hAnsi="Times New Roman" w:cs="Times New Roman"/>
          <w:sz w:val="24"/>
        </w:rPr>
        <w:t xml:space="preserve">          </w:t>
      </w:r>
      <w:r w:rsidRPr="00B16389">
        <w:rPr>
          <w:rFonts w:ascii="Times New Roman" w:hAnsi="Times New Roman" w:cs="Times New Roman"/>
          <w:sz w:val="24"/>
        </w:rPr>
        <w:t xml:space="preserve">Di Indonesia, wakaf sudah dikenal dan dipraktekkan oleh umat Islam sejak masuknya Islam ke Indonesia. Kebutuhan masjid pada awal masa penyiaran Islam berdampak positif, yakni pemberian tanah wakaf untuk mendirikan masjid menjadi tradisi yang lazim dan meluas di komunitas-komunitas Islam di Nusantara. Seiring dengan perkembangan sosial masyarakat islam dari waktu ke waktu praktik perwakafan mengalami kemajuan setahap demi setahap. Tradisi wakaf untuk tempat ibadah tetap bertahan dan mulai muncul wakaf lain untuk kegiatan pendidikan seperti untuk pendirian pesantren dan madrasah. Dalam periode berikutnya, corak pemanfaatan wakaf terus berkembang, sehingga mencakup pelayanan sosial kesehatan, seperti pendirian klinik dan panti asuhan. </w:t>
      </w:r>
    </w:p>
    <w:p w:rsidR="00B16389" w:rsidRDefault="00B16389" w:rsidP="00B16389">
      <w:pPr>
        <w:jc w:val="both"/>
        <w:rPr>
          <w:rFonts w:ascii="Times New Roman" w:hAnsi="Times New Roman" w:cs="Times New Roman"/>
          <w:sz w:val="24"/>
        </w:rPr>
      </w:pPr>
      <w:r>
        <w:rPr>
          <w:rFonts w:ascii="Times New Roman" w:hAnsi="Times New Roman" w:cs="Times New Roman"/>
          <w:sz w:val="24"/>
        </w:rPr>
        <w:t xml:space="preserve">          </w:t>
      </w:r>
      <w:r w:rsidRPr="00B16389">
        <w:rPr>
          <w:rFonts w:ascii="Times New Roman" w:hAnsi="Times New Roman" w:cs="Times New Roman"/>
          <w:sz w:val="24"/>
        </w:rPr>
        <w:t xml:space="preserve">Pada awalnya permasalahan wakaf ini hanya ditangani oleh umat Islam secara pribadi, terkesan tidak ada pengelolaan secara khusus serta tidak ada campur tangan dari pihak pemerintah. Pada mulanya pemerintah tidak mengatur tata cara orang yang mewakafkan hartanya, pemeliharaan benda-benda wakaf, serta pengelolaanya. Namun kini pemerintah turut serta mengatur perwakafan melalui beberapa peraturan perundang-undang. </w:t>
      </w:r>
    </w:p>
    <w:p w:rsidR="00B16389" w:rsidRDefault="00B16389" w:rsidP="00B16389">
      <w:pPr>
        <w:jc w:val="both"/>
        <w:rPr>
          <w:rFonts w:ascii="Times New Roman" w:hAnsi="Times New Roman" w:cs="Times New Roman"/>
          <w:sz w:val="24"/>
        </w:rPr>
      </w:pPr>
      <w:r>
        <w:rPr>
          <w:rFonts w:ascii="Times New Roman" w:hAnsi="Times New Roman" w:cs="Times New Roman"/>
          <w:sz w:val="24"/>
        </w:rPr>
        <w:t xml:space="preserve">          </w:t>
      </w:r>
      <w:r w:rsidRPr="00B16389">
        <w:rPr>
          <w:rFonts w:ascii="Times New Roman" w:hAnsi="Times New Roman" w:cs="Times New Roman"/>
          <w:sz w:val="24"/>
        </w:rPr>
        <w:t>Berdasarkan hal tersebut, pemakalah merasa tertarik untuk membahas lebih dalam tentang sejarah perwakafan di Indonesia, namun sebelum membahas lebih jauh tentang sejarah wakaf di Indonesia di mulai dari sebelum kemerdekaan sampai dengan sekarang, penulis akan membahas secara singkat tentang definisi dan dasar hukum wakaf, hal ini</w:t>
      </w:r>
      <w:r>
        <w:rPr>
          <w:rFonts w:ascii="Times New Roman" w:hAnsi="Times New Roman" w:cs="Times New Roman"/>
          <w:sz w:val="24"/>
        </w:rPr>
        <w:t xml:space="preserve"> </w:t>
      </w:r>
      <w:r w:rsidRPr="00B16389">
        <w:rPr>
          <w:rFonts w:ascii="Times New Roman" w:hAnsi="Times New Roman" w:cs="Times New Roman"/>
          <w:sz w:val="24"/>
        </w:rPr>
        <w:t>dilakukan agar dapat mempermudah pemahaman dalam membahas sejarah perwakafan dan pelaksanaan wakaf di Indonesia</w:t>
      </w:r>
      <w:r>
        <w:rPr>
          <w:rStyle w:val="FootnoteReference"/>
          <w:rFonts w:ascii="Times New Roman" w:hAnsi="Times New Roman" w:cs="Times New Roman"/>
          <w:sz w:val="24"/>
        </w:rPr>
        <w:footnoteReference w:id="3"/>
      </w:r>
    </w:p>
    <w:p w:rsidR="00B16389" w:rsidRDefault="00B16389" w:rsidP="00B16389">
      <w:pPr>
        <w:jc w:val="both"/>
        <w:rPr>
          <w:rFonts w:ascii="Times New Roman" w:hAnsi="Times New Roman" w:cs="Times New Roman"/>
          <w:sz w:val="24"/>
        </w:rPr>
      </w:pPr>
    </w:p>
    <w:p w:rsidR="00B16389" w:rsidRDefault="00B16389" w:rsidP="00B16389">
      <w:pPr>
        <w:jc w:val="both"/>
        <w:rPr>
          <w:rFonts w:ascii="Times New Roman" w:hAnsi="Times New Roman" w:cs="Times New Roman"/>
          <w:b/>
          <w:sz w:val="24"/>
        </w:rPr>
      </w:pPr>
      <w:r w:rsidRPr="00B16389">
        <w:rPr>
          <w:rFonts w:ascii="Times New Roman" w:hAnsi="Times New Roman" w:cs="Times New Roman"/>
          <w:b/>
          <w:sz w:val="24"/>
        </w:rPr>
        <w:t>B. Pembahasan</w:t>
      </w:r>
    </w:p>
    <w:p w:rsidR="00B16389" w:rsidRDefault="00B16389" w:rsidP="00B16389">
      <w:pPr>
        <w:jc w:val="both"/>
        <w:rPr>
          <w:rFonts w:ascii="Times New Roman" w:hAnsi="Times New Roman" w:cs="Times New Roman"/>
          <w:b/>
          <w:sz w:val="24"/>
        </w:rPr>
      </w:pPr>
      <w:r w:rsidRPr="00B16389">
        <w:rPr>
          <w:rFonts w:ascii="Times New Roman" w:hAnsi="Times New Roman" w:cs="Times New Roman"/>
          <w:b/>
          <w:sz w:val="24"/>
        </w:rPr>
        <w:t>1. Pengertian dan Dasar Hukum Wakaf</w:t>
      </w:r>
    </w:p>
    <w:p w:rsidR="00B16389" w:rsidRDefault="00B16389" w:rsidP="00B16389">
      <w:pPr>
        <w:jc w:val="both"/>
        <w:rPr>
          <w:rFonts w:ascii="Times New Roman" w:hAnsi="Times New Roman" w:cs="Times New Roman"/>
          <w:sz w:val="24"/>
        </w:rPr>
      </w:pPr>
      <w:r>
        <w:rPr>
          <w:rFonts w:ascii="Times New Roman" w:hAnsi="Times New Roman" w:cs="Times New Roman"/>
          <w:sz w:val="24"/>
        </w:rPr>
        <w:t xml:space="preserve">          </w:t>
      </w:r>
      <w:r w:rsidRPr="00B16389">
        <w:rPr>
          <w:rFonts w:ascii="Times New Roman" w:hAnsi="Times New Roman" w:cs="Times New Roman"/>
          <w:sz w:val="24"/>
        </w:rPr>
        <w:t>Kata waqaf digunakan dalam Al-Qur‟an empat kali dalam tiga surat yaitu QS. Al-An am ayat 30, QS. Saba‟ ayat 31, dan QS. Al-Saffat ayat 24. Ketiga yang pertama artinya menghadapkan (dihadapkan), dan yang terakhir artinya berhenti atau menahan, “dan tahanlah mereka (ditempat perhentian) karena sesungguhnya mereka akan ditanya”. Konteks ayat ini menyatakan proses ahli neraka</w:t>
      </w:r>
      <w:r>
        <w:rPr>
          <w:rFonts w:ascii="Times New Roman" w:hAnsi="Times New Roman" w:cs="Times New Roman"/>
          <w:sz w:val="24"/>
        </w:rPr>
        <w:t xml:space="preserve"> ketika akan dimasukkan neraka.</w:t>
      </w:r>
      <w:r>
        <w:rPr>
          <w:rStyle w:val="FootnoteReference"/>
          <w:rFonts w:ascii="Times New Roman" w:hAnsi="Times New Roman" w:cs="Times New Roman"/>
          <w:sz w:val="24"/>
        </w:rPr>
        <w:footnoteReference w:id="4"/>
      </w:r>
      <w:r w:rsidRPr="00B16389">
        <w:rPr>
          <w:rFonts w:ascii="Times New Roman" w:hAnsi="Times New Roman" w:cs="Times New Roman"/>
          <w:sz w:val="24"/>
        </w:rPr>
        <w:t xml:space="preserve"> </w:t>
      </w:r>
    </w:p>
    <w:p w:rsidR="00B16389" w:rsidRDefault="00B16389" w:rsidP="00B16389">
      <w:pPr>
        <w:jc w:val="both"/>
        <w:rPr>
          <w:rFonts w:ascii="Times New Roman" w:hAnsi="Times New Roman" w:cs="Times New Roman"/>
          <w:sz w:val="24"/>
        </w:rPr>
      </w:pPr>
      <w:r>
        <w:rPr>
          <w:rFonts w:ascii="Times New Roman" w:hAnsi="Times New Roman" w:cs="Times New Roman"/>
          <w:sz w:val="24"/>
        </w:rPr>
        <w:t xml:space="preserve">          </w:t>
      </w:r>
      <w:r w:rsidRPr="00B16389">
        <w:rPr>
          <w:rFonts w:ascii="Times New Roman" w:hAnsi="Times New Roman" w:cs="Times New Roman"/>
          <w:sz w:val="24"/>
        </w:rPr>
        <w:t>Wakaf yang bentuk jama‟-nya  auqaf berasal dari kata (masdar) atau kata kerja (fi’il) yang dapat berfungsi sebagai kata kerja transitif (fi’il muta’addi) atau kata kerja intransitive (fi’il lazim), berarti menahan atau menghentikan sesuatu dan berdiam ditempat. Dengan kata lain, perkataan waqf menjadi wakaf dalam bahasa Indonesia berasal dari kata kerja bahasa arab  وقف    - يقف  - وقفف berarti “berdiri, berhenti</w:t>
      </w:r>
      <w:r w:rsidR="00FB44EA">
        <w:rPr>
          <w:rFonts w:ascii="Times New Roman" w:hAnsi="Times New Roman" w:cs="Times New Roman"/>
          <w:sz w:val="24"/>
        </w:rPr>
        <w:t xml:space="preserve">”. </w:t>
      </w:r>
      <w:r w:rsidRPr="00B16389">
        <w:rPr>
          <w:rFonts w:ascii="Times New Roman" w:hAnsi="Times New Roman" w:cs="Times New Roman"/>
          <w:sz w:val="24"/>
        </w:rPr>
        <w:t>Kata wakaf s</w:t>
      </w:r>
      <w:r w:rsidR="00FB44EA">
        <w:rPr>
          <w:rFonts w:ascii="Times New Roman" w:hAnsi="Times New Roman" w:cs="Times New Roman"/>
          <w:sz w:val="24"/>
        </w:rPr>
        <w:t>ering disebut juga dengan habs.</w:t>
      </w:r>
      <w:r w:rsidR="00FB44EA">
        <w:rPr>
          <w:rStyle w:val="FootnoteReference"/>
          <w:rFonts w:ascii="Times New Roman" w:hAnsi="Times New Roman" w:cs="Times New Roman"/>
          <w:sz w:val="24"/>
        </w:rPr>
        <w:footnoteReference w:id="5"/>
      </w:r>
      <w:r w:rsidR="00FB44EA">
        <w:rPr>
          <w:rFonts w:ascii="Times New Roman" w:hAnsi="Times New Roman" w:cs="Times New Roman"/>
          <w:sz w:val="24"/>
        </w:rPr>
        <w:t xml:space="preserve"> </w:t>
      </w:r>
      <w:r w:rsidRPr="00B16389">
        <w:rPr>
          <w:rFonts w:ascii="Times New Roman" w:hAnsi="Times New Roman" w:cs="Times New Roman"/>
          <w:sz w:val="24"/>
        </w:rPr>
        <w:lastRenderedPageBreak/>
        <w:t xml:space="preserve">Dengan demikian, kata wakaf itu dapat berarti berhenti, menghentikan dan dapat pula berarti menahan. Pengertian menahan dihubungkan dengan harta kekayaan, itulah yang dimaksud wakaf dalam bahasa ini.  </w:t>
      </w:r>
    </w:p>
    <w:p w:rsidR="00FB44EA" w:rsidRDefault="00B16389" w:rsidP="00B16389">
      <w:pPr>
        <w:jc w:val="both"/>
        <w:rPr>
          <w:rFonts w:ascii="Times New Roman" w:hAnsi="Times New Roman" w:cs="Times New Roman"/>
          <w:sz w:val="24"/>
        </w:rPr>
      </w:pPr>
      <w:r>
        <w:rPr>
          <w:rFonts w:ascii="Times New Roman" w:hAnsi="Times New Roman" w:cs="Times New Roman"/>
          <w:sz w:val="24"/>
        </w:rPr>
        <w:t xml:space="preserve">          </w:t>
      </w:r>
      <w:r w:rsidRPr="00B16389">
        <w:rPr>
          <w:rFonts w:ascii="Times New Roman" w:hAnsi="Times New Roman" w:cs="Times New Roman"/>
          <w:sz w:val="24"/>
        </w:rPr>
        <w:t>Menurut istilah syara‟, wakaf berarti menyerahkan suatu hak milik yang tahan lama zatnya kepada seorang nadzir (penjaga wakaf) atau kepada suatu badan pengelola, dengan ketentuan bahwa hasil atau manfaatnya digunakan kepada hal-hal yang sesuai dengan ajaran syari‟</w:t>
      </w:r>
      <w:r w:rsidR="00FB44EA">
        <w:rPr>
          <w:rFonts w:ascii="Times New Roman" w:hAnsi="Times New Roman" w:cs="Times New Roman"/>
          <w:sz w:val="24"/>
        </w:rPr>
        <w:t xml:space="preserve">at Islam. </w:t>
      </w:r>
      <w:r w:rsidRPr="00B16389">
        <w:rPr>
          <w:rFonts w:ascii="Times New Roman" w:hAnsi="Times New Roman" w:cs="Times New Roman"/>
          <w:sz w:val="24"/>
        </w:rPr>
        <w:t xml:space="preserve">Dalam hal tersebut, benda yang diwakafkan bukan lagi hak milik yang mewakafkan, dan bukan pula hak milik tempat menyerahkan, tetapi ia menjadi hak milik Allah (hak umum). </w:t>
      </w:r>
    </w:p>
    <w:p w:rsidR="00B16389" w:rsidRDefault="00FB44EA" w:rsidP="00B16389">
      <w:pPr>
        <w:jc w:val="both"/>
        <w:rPr>
          <w:rFonts w:ascii="Times New Roman" w:hAnsi="Times New Roman" w:cs="Times New Roman"/>
          <w:sz w:val="24"/>
        </w:rPr>
      </w:pPr>
      <w:r>
        <w:rPr>
          <w:rFonts w:ascii="Times New Roman" w:hAnsi="Times New Roman" w:cs="Times New Roman"/>
          <w:sz w:val="24"/>
        </w:rPr>
        <w:t xml:space="preserve">          </w:t>
      </w:r>
      <w:r w:rsidR="00B16389" w:rsidRPr="00B16389">
        <w:rPr>
          <w:rFonts w:ascii="Times New Roman" w:hAnsi="Times New Roman" w:cs="Times New Roman"/>
          <w:sz w:val="24"/>
        </w:rPr>
        <w:t>Wakaf menurut jumhur ulama‟ ialah suatu harta yang mungkin dimanfaatkan selagi barangnya utuh. Dengan putusnya hak penggunaan dari</w:t>
      </w:r>
      <w:r>
        <w:rPr>
          <w:rFonts w:ascii="Times New Roman" w:hAnsi="Times New Roman" w:cs="Times New Roman"/>
          <w:sz w:val="24"/>
        </w:rPr>
        <w:t xml:space="preserve"> </w:t>
      </w:r>
      <w:r w:rsidRPr="00FB44EA">
        <w:rPr>
          <w:rFonts w:ascii="Times New Roman" w:hAnsi="Times New Roman" w:cs="Times New Roman"/>
          <w:sz w:val="24"/>
        </w:rPr>
        <w:t>wakif, untuk kebajikan yang semata-mata demi men</w:t>
      </w:r>
      <w:r>
        <w:rPr>
          <w:rFonts w:ascii="Times New Roman" w:hAnsi="Times New Roman" w:cs="Times New Roman"/>
          <w:sz w:val="24"/>
        </w:rPr>
        <w:t>dekatkan diri kepada Allah SWT.</w:t>
      </w:r>
      <w:r w:rsidRPr="00FB44EA">
        <w:rPr>
          <w:rFonts w:ascii="Times New Roman" w:hAnsi="Times New Roman" w:cs="Times New Roman"/>
          <w:sz w:val="24"/>
        </w:rPr>
        <w:t xml:space="preserve"> Harta wakaf atau hasilnya, dibelanjakan untuk mendekatkan diri kepada Allah SWT. Dengan diwakafkannya harta itu, maka harta keluar dari pemilikan wakif, dan jadilah harta wakaf tersebut secara hukum milik Allah SWT. Bagi wakif, terhalang untuk memanfaatkan dan wajib mendermakan hasilnya sesuai tujuan</w:t>
      </w:r>
      <w:r>
        <w:rPr>
          <w:rFonts w:ascii="Times New Roman" w:hAnsi="Times New Roman" w:cs="Times New Roman"/>
          <w:sz w:val="24"/>
        </w:rPr>
        <w:t>.</w:t>
      </w:r>
    </w:p>
    <w:p w:rsidR="00FB44EA" w:rsidRDefault="00FB44EA" w:rsidP="00B16389">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Rumusan yang termuat dalam Kompilasi Hukum Islam, dimana disebutkan dalam pasal 215 ayat (1) bahwa wakaf adalah, perbuatan hukum seseorang atau kelompok orang atau badan hukum yang memisahkan sebagian dari benda miliknya dan melembagakannya untuk selama-lamanya, guna kepentingan ibadat atau keperluan umum lainnya sesuai dengan ajaran Islam.</w:t>
      </w:r>
    </w:p>
    <w:p w:rsidR="00FB44EA" w:rsidRDefault="00FB44EA" w:rsidP="00B16389">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Dalam pengertian lain, sebagaimana disebutkan dalam UU RI No 41 tahun 2004 tentang wakaf, mendefinisikan wakaf sebagai berikut: “Wakaf adalah perbuatan hukum wakif untuk memisahkan dan atau menyerahkan sebagian harta benda miliknya, untuk  dimanfaatkan selamanya atau untuk jangka waktu tertentu, sesuai dengan kepentingannya guna keperluan ibadah dan atau keseja</w:t>
      </w:r>
      <w:r>
        <w:rPr>
          <w:rFonts w:ascii="Times New Roman" w:hAnsi="Times New Roman" w:cs="Times New Roman"/>
          <w:sz w:val="24"/>
        </w:rPr>
        <w:t>hteraan umum menurut syari‟ah.</w:t>
      </w:r>
      <w:r>
        <w:rPr>
          <w:rStyle w:val="FootnoteReference"/>
          <w:rFonts w:ascii="Times New Roman" w:hAnsi="Times New Roman" w:cs="Times New Roman"/>
          <w:sz w:val="24"/>
        </w:rPr>
        <w:footnoteReference w:id="6"/>
      </w:r>
    </w:p>
    <w:p w:rsidR="00FB44EA" w:rsidRDefault="00FB44EA" w:rsidP="00B16389">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Walau definisi wakaf berbeda antara satu dengan yang lain, akan tetapi definisi tersebut nampaknya berpegang pada prinsip bahwa benda wakaf, pada hakikatnya adalah pengekalan dari manfaat benda wakaf itu. Namun demikian, dari beberapa definisi dan keterangan di atas, dapatlah ditarik suatu kesimpulan bahwa wakaf itu meliputi beberapa aspek sebagai berikut: Harta benda itu milik yang sempurna; Harta benda itu zatnya bersifat kekal dan tidak habis dalam sekali atau dua kali pakai; Harta benda tersebut dilepaskan kepemilikannya oleh pemiliknya; Harta benda yang dilepaskan kepemilikannya tersebut, adalah milik Allah dalam arti tidak dapat dihibahkan, diwariskan atau diperjualbelikan; dan Manfaat dari harta benda tersebut untuk kepentingan umum yang sesuai dengan ajaran Islam.</w:t>
      </w:r>
    </w:p>
    <w:p w:rsidR="00FB44EA" w:rsidRPr="00FB44EA" w:rsidRDefault="00FB44EA" w:rsidP="00B16389">
      <w:pPr>
        <w:jc w:val="both"/>
        <w:rPr>
          <w:rFonts w:ascii="Times New Roman" w:hAnsi="Times New Roman" w:cs="Times New Roman"/>
          <w:b/>
          <w:sz w:val="24"/>
        </w:rPr>
      </w:pPr>
      <w:r w:rsidRPr="00FB44EA">
        <w:rPr>
          <w:rFonts w:ascii="Times New Roman" w:hAnsi="Times New Roman" w:cs="Times New Roman"/>
          <w:b/>
          <w:sz w:val="24"/>
        </w:rPr>
        <w:t xml:space="preserve">2. Sejarah Perwakafan di Indonesia </w:t>
      </w:r>
    </w:p>
    <w:p w:rsidR="00FB44EA" w:rsidRDefault="00FB44EA" w:rsidP="00B16389">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Wakaf di Indonesia sebagai lembaga Islam yang erat kaitannya dengan masalah sosial dan adat Indonesia, telah dikenal sejak sebelum kemerdekaan yaitu sejak Islam masuk Indonesia. Adapun sejarah perkembangan perwakafan di Indonesia sebagai berikut :</w:t>
      </w:r>
    </w:p>
    <w:p w:rsidR="00FB44EA" w:rsidRDefault="00FB44EA" w:rsidP="00B16389">
      <w:pPr>
        <w:jc w:val="both"/>
        <w:rPr>
          <w:rFonts w:ascii="Times New Roman" w:hAnsi="Times New Roman" w:cs="Times New Roman"/>
          <w:sz w:val="24"/>
        </w:rPr>
      </w:pPr>
    </w:p>
    <w:p w:rsidR="00FB44EA" w:rsidRDefault="00FB44EA" w:rsidP="00B16389">
      <w:pPr>
        <w:jc w:val="both"/>
        <w:rPr>
          <w:rFonts w:ascii="Times New Roman" w:hAnsi="Times New Roman" w:cs="Times New Roman"/>
          <w:sz w:val="24"/>
        </w:rPr>
      </w:pPr>
    </w:p>
    <w:p w:rsidR="00FB44EA" w:rsidRPr="00FB44EA" w:rsidRDefault="00FB44EA" w:rsidP="00B16389">
      <w:pPr>
        <w:jc w:val="both"/>
        <w:rPr>
          <w:rFonts w:ascii="Times New Roman" w:hAnsi="Times New Roman" w:cs="Times New Roman"/>
          <w:b/>
          <w:sz w:val="24"/>
        </w:rPr>
      </w:pPr>
      <w:r w:rsidRPr="00FB44EA">
        <w:rPr>
          <w:rFonts w:ascii="Times New Roman" w:hAnsi="Times New Roman" w:cs="Times New Roman"/>
          <w:b/>
          <w:sz w:val="24"/>
        </w:rPr>
        <w:lastRenderedPageBreak/>
        <w:t>a. Wakaf di Zaman Kesultanan</w:t>
      </w:r>
    </w:p>
    <w:p w:rsidR="00FB44EA" w:rsidRDefault="00FB44EA" w:rsidP="00B16389">
      <w:pPr>
        <w:jc w:val="both"/>
        <w:rPr>
          <w:rFonts w:ascii="Times New Roman" w:hAnsi="Times New Roman" w:cs="Times New Roman"/>
          <w:sz w:val="24"/>
        </w:rPr>
      </w:pPr>
      <w:r w:rsidRPr="00FB44EA">
        <w:rPr>
          <w:rFonts w:ascii="Times New Roman" w:hAnsi="Times New Roman" w:cs="Times New Roman"/>
          <w:sz w:val="24"/>
        </w:rPr>
        <w:t xml:space="preserve"> </w:t>
      </w:r>
      <w:r>
        <w:rPr>
          <w:rFonts w:ascii="Times New Roman" w:hAnsi="Times New Roman" w:cs="Times New Roman"/>
          <w:sz w:val="24"/>
        </w:rPr>
        <w:t xml:space="preserve">          </w:t>
      </w:r>
      <w:r w:rsidRPr="00FB44EA">
        <w:rPr>
          <w:rFonts w:ascii="Times New Roman" w:hAnsi="Times New Roman" w:cs="Times New Roman"/>
          <w:sz w:val="24"/>
        </w:rPr>
        <w:t xml:space="preserve">Banyak bukti-bukti ditemukan bahwa pada masa kesultanan telah dilakukan ibadah wakaf, hal ini dapat dilihat pada peninggalan sejarah, baik berupa tanah dan bangunan masjid, bangunan madrasah, komplek makam, tanah lahan baik basah maupun kering yang ditemukan hampir di seluruh Indonesia terutama  yang di zaman dulu Kesultanan / Susuhan atau pernah diperintah oleh Bupati yang beragama Islam. Bukti itu antara lain tanahtanah yang diantaranya berdiri masjid seperti: </w:t>
      </w:r>
    </w:p>
    <w:p w:rsidR="00FB44EA" w:rsidRDefault="00FB44EA" w:rsidP="00FB44EA">
      <w:pPr>
        <w:ind w:left="2127" w:hanging="1418"/>
        <w:jc w:val="both"/>
        <w:rPr>
          <w:rFonts w:ascii="Times New Roman" w:hAnsi="Times New Roman" w:cs="Times New Roman"/>
          <w:sz w:val="24"/>
        </w:rPr>
      </w:pPr>
      <w:r w:rsidRPr="00FB44EA">
        <w:rPr>
          <w:rFonts w:ascii="Times New Roman" w:hAnsi="Times New Roman" w:cs="Times New Roman"/>
          <w:sz w:val="24"/>
        </w:rPr>
        <w:t xml:space="preserve">a.    Masjid Al Falah di Jambi berasal dari tanah Sultan Thah Saifudin;  </w:t>
      </w:r>
    </w:p>
    <w:p w:rsidR="00FB44EA" w:rsidRDefault="00FB44EA" w:rsidP="00FB44EA">
      <w:pPr>
        <w:ind w:left="709"/>
        <w:jc w:val="both"/>
        <w:rPr>
          <w:rFonts w:ascii="Times New Roman" w:hAnsi="Times New Roman" w:cs="Times New Roman"/>
          <w:sz w:val="24"/>
        </w:rPr>
      </w:pPr>
      <w:r w:rsidRPr="00FB44EA">
        <w:rPr>
          <w:rFonts w:ascii="Times New Roman" w:hAnsi="Times New Roman" w:cs="Times New Roman"/>
          <w:sz w:val="24"/>
        </w:rPr>
        <w:t>b.    Masjid Kauman di Cirebon wakaf dari Sunan Gunung Jati;</w:t>
      </w:r>
    </w:p>
    <w:p w:rsidR="00FB44EA" w:rsidRDefault="00FB44EA" w:rsidP="00FB44EA">
      <w:pPr>
        <w:ind w:left="709"/>
        <w:jc w:val="both"/>
        <w:rPr>
          <w:rFonts w:ascii="Times New Roman" w:hAnsi="Times New Roman" w:cs="Times New Roman"/>
          <w:sz w:val="24"/>
        </w:rPr>
      </w:pPr>
      <w:r w:rsidRPr="00FB44EA">
        <w:rPr>
          <w:rFonts w:ascii="Times New Roman" w:hAnsi="Times New Roman" w:cs="Times New Roman"/>
          <w:sz w:val="24"/>
        </w:rPr>
        <w:t xml:space="preserve">c.     Masjid di Demak wakaf dari Raden Patah;  </w:t>
      </w:r>
    </w:p>
    <w:p w:rsidR="00FB44EA" w:rsidRDefault="00FB44EA" w:rsidP="00FB44EA">
      <w:pPr>
        <w:ind w:left="709"/>
        <w:jc w:val="both"/>
        <w:rPr>
          <w:rFonts w:ascii="Times New Roman" w:hAnsi="Times New Roman" w:cs="Times New Roman"/>
          <w:sz w:val="24"/>
        </w:rPr>
      </w:pPr>
      <w:r w:rsidRPr="00FB44EA">
        <w:rPr>
          <w:rFonts w:ascii="Times New Roman" w:hAnsi="Times New Roman" w:cs="Times New Roman"/>
          <w:sz w:val="24"/>
        </w:rPr>
        <w:t xml:space="preserve">d.    Masjid Menara si Kudus wakaf dari Sunan Muria; </w:t>
      </w:r>
    </w:p>
    <w:p w:rsidR="00FB44EA" w:rsidRDefault="00FB44EA" w:rsidP="00FB44EA">
      <w:pPr>
        <w:ind w:left="709"/>
        <w:jc w:val="both"/>
        <w:rPr>
          <w:rFonts w:ascii="Times New Roman" w:hAnsi="Times New Roman" w:cs="Times New Roman"/>
          <w:sz w:val="24"/>
        </w:rPr>
      </w:pPr>
      <w:r w:rsidRPr="00FB44EA">
        <w:rPr>
          <w:rFonts w:ascii="Times New Roman" w:hAnsi="Times New Roman" w:cs="Times New Roman"/>
          <w:sz w:val="24"/>
        </w:rPr>
        <w:t xml:space="preserve">e.    Masjid Jamik Pangkalan wakaf dari Sultan Abdul Qodirun;  </w:t>
      </w:r>
    </w:p>
    <w:p w:rsidR="00FB44EA" w:rsidRDefault="00FB44EA" w:rsidP="00FB44EA">
      <w:pPr>
        <w:ind w:left="709"/>
        <w:jc w:val="both"/>
        <w:rPr>
          <w:rFonts w:ascii="Times New Roman" w:hAnsi="Times New Roman" w:cs="Times New Roman"/>
          <w:sz w:val="24"/>
        </w:rPr>
      </w:pPr>
      <w:r w:rsidRPr="00FB44EA">
        <w:rPr>
          <w:rFonts w:ascii="Times New Roman" w:hAnsi="Times New Roman" w:cs="Times New Roman"/>
          <w:sz w:val="24"/>
        </w:rPr>
        <w:t xml:space="preserve">f.     Masjid Agung Semarang wakaf dari Pangeran Pandanaran;  </w:t>
      </w:r>
    </w:p>
    <w:p w:rsidR="00FB44EA" w:rsidRDefault="00FB44EA" w:rsidP="00FB44EA">
      <w:pPr>
        <w:ind w:left="709"/>
        <w:jc w:val="both"/>
        <w:rPr>
          <w:rFonts w:ascii="Times New Roman" w:hAnsi="Times New Roman" w:cs="Times New Roman"/>
          <w:sz w:val="24"/>
        </w:rPr>
      </w:pPr>
      <w:r w:rsidRPr="00FB44EA">
        <w:rPr>
          <w:rFonts w:ascii="Times New Roman" w:hAnsi="Times New Roman" w:cs="Times New Roman"/>
          <w:sz w:val="24"/>
        </w:rPr>
        <w:t xml:space="preserve">g.    Masjid Ampel di Surabaya wakaf dari R. Rochmat Sunan Ampel;  </w:t>
      </w:r>
    </w:p>
    <w:p w:rsidR="00FB44EA" w:rsidRDefault="00FB44EA" w:rsidP="00FB44EA">
      <w:pPr>
        <w:ind w:left="709"/>
        <w:jc w:val="both"/>
        <w:rPr>
          <w:rFonts w:ascii="Times New Roman" w:hAnsi="Times New Roman" w:cs="Times New Roman"/>
          <w:sz w:val="24"/>
        </w:rPr>
      </w:pPr>
      <w:r w:rsidRPr="00FB44EA">
        <w:rPr>
          <w:rFonts w:ascii="Times New Roman" w:hAnsi="Times New Roman" w:cs="Times New Roman"/>
          <w:sz w:val="24"/>
        </w:rPr>
        <w:t xml:space="preserve">h.    Masjid Agung Kauman di Yogya wakaf dari Sultan Agung;  </w:t>
      </w:r>
    </w:p>
    <w:p w:rsidR="00FB44EA" w:rsidRDefault="00FB44EA" w:rsidP="00FB44EA">
      <w:pPr>
        <w:ind w:left="709"/>
        <w:jc w:val="both"/>
        <w:rPr>
          <w:rFonts w:ascii="Times New Roman" w:hAnsi="Times New Roman" w:cs="Times New Roman"/>
          <w:sz w:val="24"/>
        </w:rPr>
      </w:pPr>
      <w:r w:rsidRPr="00FB44EA">
        <w:rPr>
          <w:rFonts w:ascii="Times New Roman" w:hAnsi="Times New Roman" w:cs="Times New Roman"/>
          <w:sz w:val="24"/>
        </w:rPr>
        <w:t xml:space="preserve">i.      Masjid Agung Kauman di Solo wakaf dari Susuhunan  Paku Buwono X.12 </w:t>
      </w:r>
      <w:r>
        <w:rPr>
          <w:rStyle w:val="FootnoteReference"/>
          <w:rFonts w:ascii="Times New Roman" w:hAnsi="Times New Roman" w:cs="Times New Roman"/>
          <w:sz w:val="24"/>
        </w:rPr>
        <w:footnoteReference w:id="7"/>
      </w:r>
    </w:p>
    <w:p w:rsidR="00FB44EA" w:rsidRDefault="00FB44EA" w:rsidP="00FB44EA">
      <w:pPr>
        <w:ind w:left="1134" w:hanging="425"/>
        <w:jc w:val="both"/>
        <w:rPr>
          <w:rFonts w:ascii="Times New Roman" w:hAnsi="Times New Roman" w:cs="Times New Roman"/>
          <w:sz w:val="24"/>
        </w:rPr>
      </w:pPr>
      <w:r>
        <w:rPr>
          <w:rFonts w:ascii="Times New Roman" w:hAnsi="Times New Roman" w:cs="Times New Roman"/>
          <w:sz w:val="24"/>
        </w:rPr>
        <w:t xml:space="preserve">j.    </w:t>
      </w:r>
      <w:r w:rsidRPr="00FB44EA">
        <w:rPr>
          <w:rFonts w:ascii="Times New Roman" w:hAnsi="Times New Roman" w:cs="Times New Roman"/>
          <w:sz w:val="24"/>
        </w:rPr>
        <w:t xml:space="preserve">Untuk Masjid Agung Banten dan madrasah-madrasahnya mendapat tanah wakaf dari Maulana Hasanudin, Maulana Yusuf, Maulana Pangeran Mas dan Hartawan Muslim yang luasnya ratusan hektar;  </w:t>
      </w:r>
    </w:p>
    <w:p w:rsidR="00FB44EA" w:rsidRDefault="00FB44EA" w:rsidP="00FB44EA">
      <w:pPr>
        <w:ind w:left="1134" w:hanging="425"/>
        <w:jc w:val="both"/>
        <w:rPr>
          <w:rFonts w:ascii="Times New Roman" w:hAnsi="Times New Roman" w:cs="Times New Roman"/>
          <w:sz w:val="24"/>
        </w:rPr>
      </w:pPr>
      <w:r>
        <w:rPr>
          <w:rFonts w:ascii="Times New Roman" w:hAnsi="Times New Roman" w:cs="Times New Roman"/>
          <w:sz w:val="24"/>
        </w:rPr>
        <w:t xml:space="preserve">k.   </w:t>
      </w:r>
      <w:r w:rsidRPr="00FB44EA">
        <w:rPr>
          <w:rFonts w:ascii="Times New Roman" w:hAnsi="Times New Roman" w:cs="Times New Roman"/>
          <w:sz w:val="24"/>
        </w:rPr>
        <w:t xml:space="preserve">Masjid Agung Demak dan pesantrennya dibiayai dari hasil tanah wakaf   sawah seluas kurang lebih 350 hektar wakaf dari Raden Patah; </w:t>
      </w:r>
    </w:p>
    <w:p w:rsidR="00FB44EA" w:rsidRDefault="00FB44EA" w:rsidP="00FB44EA">
      <w:pPr>
        <w:ind w:left="1134" w:hanging="425"/>
        <w:jc w:val="both"/>
        <w:rPr>
          <w:rFonts w:ascii="Times New Roman" w:hAnsi="Times New Roman" w:cs="Times New Roman"/>
          <w:sz w:val="24"/>
        </w:rPr>
      </w:pPr>
      <w:r>
        <w:rPr>
          <w:rFonts w:ascii="Times New Roman" w:hAnsi="Times New Roman" w:cs="Times New Roman"/>
          <w:sz w:val="24"/>
        </w:rPr>
        <w:t xml:space="preserve"> l.   </w:t>
      </w:r>
      <w:r w:rsidRPr="00FB44EA">
        <w:rPr>
          <w:rFonts w:ascii="Times New Roman" w:hAnsi="Times New Roman" w:cs="Times New Roman"/>
          <w:sz w:val="24"/>
        </w:rPr>
        <w:t>Masjid Agung Semarang dibiayai dengan tanah wakaf Bupati Semarang pertama yakni Pangeran Samber nyawa seluas kurang lebih 19 hektar.</w:t>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Pengaturan wakaf pada jaman kesultanan terutama di Jawa (khususnya Jawa Tengah) pada saat itu telah diatur pada Staatsblad No. 605, jo. Besluit Govermen General Van Ned Indie ddp. 12 Agustus 1896 No. 43, jo ddo. 6 November 1912. No. 22 (Bijblad 7760), menyatakan bahwa masjid-masjid di Semarang, Kendal, Kaliwungu dan Demak memiliki tanah sawah bondo masjid (5% Moskeembtsvendem) sebagai food untuk membiayai pemeliharaan dan perbaikan masjid, halaman dan makam keramat dari wali yang ada dilingkungan masjid-masjid tersebut.13 Hal tersebut menunjukkan pada jaman kesultanan  telah ada peraturan harta wakaf sekalipun dalam hal yang masih terbatas.</w:t>
      </w:r>
    </w:p>
    <w:p w:rsidR="00FB44EA" w:rsidRPr="00FB44EA" w:rsidRDefault="00FB44EA" w:rsidP="00FB44EA">
      <w:pPr>
        <w:jc w:val="both"/>
        <w:rPr>
          <w:rFonts w:ascii="Times New Roman" w:hAnsi="Times New Roman" w:cs="Times New Roman"/>
          <w:b/>
          <w:sz w:val="24"/>
        </w:rPr>
      </w:pPr>
      <w:r w:rsidRPr="00FB44EA">
        <w:rPr>
          <w:rFonts w:ascii="Times New Roman" w:hAnsi="Times New Roman" w:cs="Times New Roman"/>
          <w:b/>
          <w:sz w:val="24"/>
        </w:rPr>
        <w:t xml:space="preserve">b. Wakaf Pada Zaman Kolonial </w:t>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Pada zaman pemerintah kolonial telah mengeluarkan berbagai peraturan yang mengatur  tentang persoalan wakaf, antara lain :</w:t>
      </w:r>
    </w:p>
    <w:p w:rsidR="00FB44EA" w:rsidRDefault="00FB44EA" w:rsidP="00FB44EA">
      <w:pPr>
        <w:ind w:left="851" w:hanging="567"/>
        <w:jc w:val="both"/>
        <w:rPr>
          <w:rFonts w:ascii="Times New Roman" w:hAnsi="Times New Roman" w:cs="Times New Roman"/>
          <w:sz w:val="24"/>
        </w:rPr>
      </w:pPr>
      <w:r w:rsidRPr="00FB44EA">
        <w:rPr>
          <w:rFonts w:ascii="Times New Roman" w:hAnsi="Times New Roman" w:cs="Times New Roman"/>
          <w:sz w:val="24"/>
        </w:rPr>
        <w:lastRenderedPageBreak/>
        <w:t>1)</w:t>
      </w:r>
      <w:r>
        <w:rPr>
          <w:rFonts w:ascii="Times New Roman" w:hAnsi="Times New Roman" w:cs="Times New Roman"/>
          <w:sz w:val="24"/>
        </w:rPr>
        <w:t xml:space="preserve">  </w:t>
      </w:r>
      <w:r w:rsidRPr="00FB44EA">
        <w:rPr>
          <w:rFonts w:ascii="Times New Roman" w:hAnsi="Times New Roman" w:cs="Times New Roman"/>
          <w:sz w:val="24"/>
        </w:rPr>
        <w:t xml:space="preserve"> Surat edaran Sekretaris Gubernur pertama tanggal 31 Januari  1905,   No. 435, sebagaimana termuat di  dalam Bijblad 1905 No. 6196, tentang Toezicht op den houw van Muhammedaansche bedehuizen. Surat edaran ini ditujukan kepada para kepala wilayah di Jawa dan Madura kecuali wilayah-wilayah di daerah Swapraja dimana sepanjang belum dilakukan supaya para Bupati membuat daftar rumah-rumah ibadah Islam yang ada di Kabupaten masing-masing.  Dalam daftar itu harus di catat asal-usul tiap-tiap rumah ibadat, dipakai untuk salat jum‟at atau tidak, ada pekarangan atau tidak, ada wakaf atau tidak. Disamping itu setiap Bupati diwajibkan pula untuk membuat daftar yang membuat keterangan tentang segala benda yang  tidak bergerak yang oleh pemiliknya (orang bumi putra) ditarik dari peredaran umum baik dengan nama wakaf atau nama lain. </w:t>
      </w:r>
    </w:p>
    <w:p w:rsidR="00FB44EA" w:rsidRDefault="00FB44EA" w:rsidP="00FB44EA">
      <w:pPr>
        <w:ind w:left="851" w:hanging="567"/>
        <w:jc w:val="both"/>
        <w:rPr>
          <w:rFonts w:ascii="Times New Roman" w:hAnsi="Times New Roman" w:cs="Times New Roman"/>
          <w:sz w:val="24"/>
        </w:rPr>
      </w:pPr>
      <w:r w:rsidRPr="00FB44EA">
        <w:rPr>
          <w:rFonts w:ascii="Times New Roman" w:hAnsi="Times New Roman" w:cs="Times New Roman"/>
          <w:sz w:val="24"/>
        </w:rPr>
        <w:t xml:space="preserve">2) </w:t>
      </w:r>
      <w:r>
        <w:rPr>
          <w:rFonts w:ascii="Times New Roman" w:hAnsi="Times New Roman" w:cs="Times New Roman"/>
          <w:sz w:val="24"/>
        </w:rPr>
        <w:t xml:space="preserve">     </w:t>
      </w:r>
      <w:r w:rsidRPr="00FB44EA">
        <w:rPr>
          <w:rFonts w:ascii="Times New Roman" w:hAnsi="Times New Roman" w:cs="Times New Roman"/>
          <w:sz w:val="24"/>
        </w:rPr>
        <w:t xml:space="preserve">Peraturan ini ternyata menimbulkan reaksi dari pergerakanpergerakan dari umat Islam karena orang yang berwakaf dalam prakteknya harus minta  ijin kepada Bupati, walaupun katanya hanya bermaksud untuk mengawasi reaksi tersebut sebenarnya merupakan penentangan terhadap campur tangan Pemerintah Kolonial terhadap urusan-urusan yang berhubungan dengan agama Islam. Oleh karena itu Pemerintah Kolonial mengeluarkan  surat  edaran lagi pada tahun 1931.  </w:t>
      </w:r>
    </w:p>
    <w:p w:rsidR="00FB44EA" w:rsidRDefault="00FB44EA" w:rsidP="00FB44EA">
      <w:pPr>
        <w:ind w:left="851" w:hanging="567"/>
        <w:jc w:val="both"/>
        <w:rPr>
          <w:rFonts w:ascii="Times New Roman" w:hAnsi="Times New Roman" w:cs="Times New Roman"/>
          <w:sz w:val="24"/>
        </w:rPr>
      </w:pPr>
      <w:r w:rsidRPr="00FB44EA">
        <w:rPr>
          <w:rFonts w:ascii="Times New Roman" w:hAnsi="Times New Roman" w:cs="Times New Roman"/>
          <w:sz w:val="24"/>
        </w:rPr>
        <w:t xml:space="preserve">3) </w:t>
      </w:r>
      <w:r>
        <w:rPr>
          <w:rFonts w:ascii="Times New Roman" w:hAnsi="Times New Roman" w:cs="Times New Roman"/>
          <w:sz w:val="24"/>
        </w:rPr>
        <w:t xml:space="preserve">    </w:t>
      </w:r>
      <w:r w:rsidRPr="00FB44EA">
        <w:rPr>
          <w:rFonts w:ascii="Times New Roman" w:hAnsi="Times New Roman" w:cs="Times New Roman"/>
          <w:sz w:val="24"/>
        </w:rPr>
        <w:t xml:space="preserve">Surat Edaran Sekretaris Gubernemen tanggal 4 Juni 1931 No. 1361/A, sebagaimana termuat di dalam Bijblad 1931 No. 12573, tentang Toizich Van de Regeering op Mohammedaan schebedehuizen, Vrijdagdienstten en wakaf.  </w:t>
      </w:r>
    </w:p>
    <w:p w:rsidR="00FB44EA" w:rsidRDefault="00FB44EA" w:rsidP="00FB44EA">
      <w:pPr>
        <w:ind w:left="851" w:hanging="567"/>
        <w:jc w:val="both"/>
        <w:rPr>
          <w:rFonts w:ascii="Times New Roman" w:hAnsi="Times New Roman" w:cs="Times New Roman"/>
          <w:sz w:val="24"/>
        </w:rPr>
      </w:pPr>
      <w:r w:rsidRPr="00FB44EA">
        <w:rPr>
          <w:rFonts w:ascii="Times New Roman" w:hAnsi="Times New Roman" w:cs="Times New Roman"/>
          <w:sz w:val="24"/>
        </w:rPr>
        <w:t>4)</w:t>
      </w:r>
      <w:r>
        <w:rPr>
          <w:rFonts w:ascii="Times New Roman" w:hAnsi="Times New Roman" w:cs="Times New Roman"/>
          <w:sz w:val="24"/>
        </w:rPr>
        <w:t xml:space="preserve">    </w:t>
      </w:r>
      <w:r w:rsidRPr="00FB44EA">
        <w:rPr>
          <w:rFonts w:ascii="Times New Roman" w:hAnsi="Times New Roman" w:cs="Times New Roman"/>
          <w:sz w:val="24"/>
        </w:rPr>
        <w:t xml:space="preserve"> Meskipun sudah ada sedikit perubahan dalam surat edaran yang kedua ini, namun masih tetap ada reaksi  dari pergerakan-pergerakan dari umat Islam, dengan  alasan bahwa menurut Umat Islam perwakafan adalah suatu tindakan hukum privat (materiil privaatrecht). Mereka beranggapan bahwa perwakafan adalah pemisahan harta benda dari pemiliknya dan ditarik dari peredaran, dan ini termasuk dalam hukum privat.  Oleh karena itu untuk sahny</w:t>
      </w:r>
      <w:r>
        <w:rPr>
          <w:rFonts w:ascii="Times New Roman" w:hAnsi="Times New Roman" w:cs="Times New Roman"/>
          <w:sz w:val="24"/>
        </w:rPr>
        <w:t xml:space="preserve"> </w:t>
      </w:r>
      <w:r w:rsidRPr="00FB44EA">
        <w:rPr>
          <w:rFonts w:ascii="Times New Roman" w:hAnsi="Times New Roman" w:cs="Times New Roman"/>
          <w:sz w:val="24"/>
        </w:rPr>
        <w:t>tidak perlu izin dari pemerintah, bahkan pemerintah tidak perlu campur tangan</w:t>
      </w:r>
      <w:r>
        <w:rPr>
          <w:rStyle w:val="FootnoteReference"/>
          <w:rFonts w:ascii="Times New Roman" w:hAnsi="Times New Roman" w:cs="Times New Roman"/>
          <w:sz w:val="24"/>
        </w:rPr>
        <w:footnoteReference w:id="8"/>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 xml:space="preserve">Kemudian Pemerintah Kolonial Belanda mengeluarkan surat edaran lagi, yakni EdaranGubernemen tanggal 24 Desember 1934 No. 3088/A sebagaimana Bijblad tahun 1934 No. 13390 tentang Toezicht Van de Regeering op Mohammedaansche bedehuizen, Verijdogdiesten en wakaf. Surat edaaran ini sifatnya hanya mempertegas apa yang disebutkan dalam surat edaran sebelumnya dimana Bupati boleh memimpin usaha untuk mencari penyelesaian seandainya persengketaan dalam masyarakat dalam halpelaksanaan shalat jum‟at, asalkan pihak-pihak yang bersangkutan memintanya. Oleh karena itu Bupati haru mengamankan keputusan itu, jika salah satu pihak tidak mematuhinya. </w:t>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 xml:space="preserve">Ketiga surat edaran itu kemudian disusul dengan surat edaran Sekretaris Gubernur tanggal 27 Mei 1935 No.1273/A, sebagaimana yang termuat dalam Bijblad 1935 No.13480 tentang Teozijh Vande Regeering Muhammedaansche bedehuizen en Wakafs. Dalam surat edaran ini diberikan beberapa penegasan tentang prosedur perwakafan di samping itu dalam surat edaran ini juga disebutkan bahwa setiap perwakafan harus diberitahukam kepada Bupati dengan maksud supaya Bupati dapat mempertimbangkan atau meneliti peraturan umum atau </w:t>
      </w:r>
      <w:r w:rsidRPr="00FB44EA">
        <w:rPr>
          <w:rFonts w:ascii="Times New Roman" w:hAnsi="Times New Roman" w:cs="Times New Roman"/>
          <w:sz w:val="24"/>
        </w:rPr>
        <w:lastRenderedPageBreak/>
        <w:t xml:space="preserve">peraturan tempat yang dilanggar agar Bupati dapat mendaftarkan wakaf itu di dalam daftar yang disediakan untuk itu.  </w:t>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Peraturan-peraturan tersebut pada jaman kemerdekaan masih tetap berlaku terus karena belum diadakan peraturan perwakafan yang baru. Pemerintah Republik Indonesia juga tetap mengakui hukum agama mengenai soal wakaf, namun campur tangan terhadap wakaf itu hanya bersifat menyelidiki, menentukan, mendaftar, dan mengawasi pemeliharaan benda-benda wakaf agar sesuai dengan tujuan dan maksud wakaf. Pemerintah sama sekali tidak bermaksud mencampuri, menguasai atau menjadikan barang wakaf menjadi tanah milik Negara. Dasar hukum, kompetensi dan tugas mengurus soal-soal wakaf oleh Kementerian Agama adalah berdasarkan Peraturan Pemerintah No. 33 tahun 1949 Jo. Peraturan Pemerintah No. 8   tahun 1980 serta bedasarkan Peraturan Menteri Agama</w:t>
      </w:r>
      <w:r>
        <w:rPr>
          <w:rFonts w:ascii="Times New Roman" w:hAnsi="Times New Roman" w:cs="Times New Roman"/>
          <w:sz w:val="24"/>
        </w:rPr>
        <w:t xml:space="preserve"> </w:t>
      </w:r>
      <w:r w:rsidRPr="00FB44EA">
        <w:rPr>
          <w:rFonts w:ascii="Times New Roman" w:hAnsi="Times New Roman" w:cs="Times New Roman"/>
          <w:sz w:val="24"/>
        </w:rPr>
        <w:t>No. 9 dan No. 10 tahun 1952. Peraturan Menteri Agama No 9 dan No. 10 tahun 1952, menyatakan bahwa Jawatan Urusan Agama dengan kantorkantor saluran vertikal di daerah-daerah KUA Pusat, KUA Kabupaten dan KUA Kecamatan mempunyai salah satu kewajiban menyelidiki, menentukan, mendaftar dan mengawasi atau menyelenggarakan pemilihan wakaf.</w:t>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 xml:space="preserve">Menurut peraturan tersebut perwakafan tanah menjadi wewenang Menteri Agama yang dalam pelaksanaanya dilimpahkan kepada kepala Kantor Urusan Agama Kabupaten.  </w:t>
      </w:r>
      <w:r>
        <w:rPr>
          <w:rFonts w:ascii="Times New Roman" w:hAnsi="Times New Roman" w:cs="Times New Roman"/>
          <w:sz w:val="24"/>
        </w:rPr>
        <w:t xml:space="preserve">         </w:t>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Sehubungan dengan adanya Surat Keputusan Bersama antar Menteri Dalam Negeri dan Menteri Agraria tertanggal 5 maret 1956 No. Pem.19/22/23/7.SK/62/Ka/59, maka pengesahan perwakafan tanah milik yang semula menjadi wewenang Bupati  dialihkan kepada Kepala Pengawas Agraria. Pelaksanaan selanjutnya diatur dengan Surat Pusat Jawatan Agraria Kepala Pusat Jawatan Agraria tanggal 13 februari 1960 No. 2351/34/11.</w:t>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 xml:space="preserve"> Dari peraturan-peraturan yang telah dikeluarkan oleh pemerintah Republik Indonesia, tampak adanya usaha-usaha untuk menjaga dan melestarikan tanah wakaf yang ada di Indonesia, bahkan usaha penertiban juga diperlihatkan oleh pemerintah RI. Disamping beberapa peraturan yang telah dikemukakan, Departemen Agama pada tanggal 22 Desember 1953 juga mengeluarkan petunjuk-petunjuk mengenai wakaf. Tugas bagian D (ibadah sosial) jawatan urusan agama surat edaran jawatan urusan agama tanggal 8 Oktober 1956, No. 3/D/1956 tentang wakaf yang bukan milik kemasjitan.  </w:t>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 xml:space="preserve">Meskipun demikian peraturan-peraturan yang ada tersebut kurang memadai. Oleh karena itu dalam rangka pembaharuan Hukum Agraria di Negara  Indonesia, Persoalan tentang perwakafan tanah diberi perhatian khusus  sebagaimana terlihat dalam Undang-Undang Pokok Agraria, yakni UU No. 5 tahun 1960 tentang Peraturan Dasar Pokok-Pokok Agraria Bab II,   Bagian XI, pasal 49. </w:t>
      </w:r>
    </w:p>
    <w:p w:rsidR="00FB44EA" w:rsidRDefault="00FB44EA" w:rsidP="00FB44EA">
      <w:pPr>
        <w:jc w:val="both"/>
        <w:rPr>
          <w:rFonts w:ascii="Times New Roman" w:hAnsi="Times New Roman" w:cs="Times New Roman"/>
          <w:sz w:val="24"/>
        </w:rPr>
      </w:pPr>
      <w:r>
        <w:rPr>
          <w:rFonts w:ascii="Times New Roman" w:hAnsi="Times New Roman" w:cs="Times New Roman"/>
          <w:sz w:val="24"/>
        </w:rPr>
        <w:t xml:space="preserve">          </w:t>
      </w:r>
      <w:r w:rsidRPr="00FB44EA">
        <w:rPr>
          <w:rFonts w:ascii="Times New Roman" w:hAnsi="Times New Roman" w:cs="Times New Roman"/>
          <w:sz w:val="24"/>
        </w:rPr>
        <w:t xml:space="preserve"> Wakaf sebagai salah satu lembaga Islam yang berkembang di Indonnesia yang pada umumnya berupa tanah milik, erat sekali hubungannya dengan pembangunan. Semakin meningkatnya pembangunan di Indonesia, kebutuhan tanah baik untuk memenuhi kebutuhan perumahan perorangan maupun untuk pembangunan-pembangunan prasarana umum seperti jalan, pasar, sekolahan, fasilitas olah raga, dan industri meningkat</w:t>
      </w:r>
      <w:r>
        <w:rPr>
          <w:rFonts w:ascii="Times New Roman" w:hAnsi="Times New Roman" w:cs="Times New Roman"/>
          <w:sz w:val="24"/>
        </w:rPr>
        <w:t xml:space="preserve"> </w:t>
      </w:r>
      <w:r w:rsidRPr="00FB44EA">
        <w:rPr>
          <w:rFonts w:ascii="Times New Roman" w:hAnsi="Times New Roman" w:cs="Times New Roman"/>
          <w:sz w:val="24"/>
        </w:rPr>
        <w:t xml:space="preserve">pula. Kondisi yang demikian menyebabkan pemerintah mulai memikirkan usaha-usaha untuk memanfaatkan tanah yang ada secara efisien dan mencegah adanya pemborosan dalam memanfaatkan tanah. Dari data-data   tanah menunjukkan bahwa masih ada daerah terdapat peta-peta dengan gambaran tanah rusak </w:t>
      </w:r>
      <w:r w:rsidRPr="00FB44EA">
        <w:rPr>
          <w:rFonts w:ascii="Times New Roman" w:hAnsi="Times New Roman" w:cs="Times New Roman"/>
          <w:sz w:val="24"/>
        </w:rPr>
        <w:lastRenderedPageBreak/>
        <w:t>terutama di daerah-daerah yang penduduknya padat dan status tanahnya bukan tanah-tanah orang-orang yang menggarapnya</w:t>
      </w:r>
      <w:r w:rsidR="00F26CD0">
        <w:rPr>
          <w:rStyle w:val="FootnoteReference"/>
          <w:rFonts w:ascii="Times New Roman" w:hAnsi="Times New Roman" w:cs="Times New Roman"/>
          <w:sz w:val="24"/>
        </w:rPr>
        <w:footnoteReference w:id="9"/>
      </w:r>
    </w:p>
    <w:p w:rsidR="00F26CD0" w:rsidRPr="00F26CD0" w:rsidRDefault="00F26CD0" w:rsidP="00FB44EA">
      <w:pPr>
        <w:jc w:val="both"/>
        <w:rPr>
          <w:rFonts w:ascii="Times New Roman" w:hAnsi="Times New Roman" w:cs="Times New Roman"/>
          <w:b/>
          <w:sz w:val="24"/>
        </w:rPr>
      </w:pPr>
      <w:r w:rsidRPr="00F26CD0">
        <w:rPr>
          <w:rFonts w:ascii="Times New Roman" w:hAnsi="Times New Roman" w:cs="Times New Roman"/>
          <w:b/>
          <w:sz w:val="24"/>
        </w:rPr>
        <w:t xml:space="preserve">C. Wakaf di Zaman Kemerdekaan </w:t>
      </w:r>
    </w:p>
    <w:p w:rsidR="00F26CD0" w:rsidRDefault="00F26CD0" w:rsidP="00FB44EA">
      <w:pPr>
        <w:jc w:val="both"/>
        <w:rPr>
          <w:rFonts w:ascii="Times New Roman" w:hAnsi="Times New Roman" w:cs="Times New Roman"/>
          <w:sz w:val="24"/>
        </w:rPr>
      </w:pPr>
      <w:r>
        <w:rPr>
          <w:rFonts w:ascii="Times New Roman" w:hAnsi="Times New Roman" w:cs="Times New Roman"/>
          <w:sz w:val="24"/>
        </w:rPr>
        <w:t xml:space="preserve">          </w:t>
      </w:r>
      <w:r w:rsidRPr="00F26CD0">
        <w:rPr>
          <w:rFonts w:ascii="Times New Roman" w:hAnsi="Times New Roman" w:cs="Times New Roman"/>
          <w:sz w:val="24"/>
        </w:rPr>
        <w:t xml:space="preserve">Perwakafan umum di Indonesia belum diatur dalam bentuk perundang-undangan, karena perwakafan masuk cakupan hukum Islam, maka pelaksanaan hukum itu berlaku berdasarkan hukum Islam, dalam hal ini fiqih Islam. Di Indonesia sampai  sekarang terdapat berbagai perangkat peraturan yang berlaku yang mengatur masalah perwakafan tanah milik, seperti dimuat dalam buku Himpunan Peraturan Perundang-undangan Perwakafan Tanah yang diterbitkan oleh Departemen Agama RI, maka dalam uraian ini dapat dikemukakan aturan-aturan itu sebagai berikut: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a)</w:t>
      </w:r>
      <w:r>
        <w:rPr>
          <w:rFonts w:ascii="Times New Roman" w:hAnsi="Times New Roman" w:cs="Times New Roman"/>
          <w:sz w:val="24"/>
        </w:rPr>
        <w:t xml:space="preserve"> </w:t>
      </w:r>
      <w:r w:rsidRPr="00F26CD0">
        <w:rPr>
          <w:rFonts w:ascii="Times New Roman" w:hAnsi="Times New Roman" w:cs="Times New Roman"/>
          <w:sz w:val="24"/>
        </w:rPr>
        <w:t xml:space="preserve"> UU No 15 Tahun 1960 tentang Peraturan  Dasar Pokok-pokok  Agraria pasal 49 ayat (1) memberi isarat bahwa “Perwakafan tanah milik dilindungi dan diatur dengan Peraturan  Pemerintah”.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b) </w:t>
      </w:r>
      <w:r>
        <w:rPr>
          <w:rFonts w:ascii="Times New Roman" w:hAnsi="Times New Roman" w:cs="Times New Roman"/>
          <w:sz w:val="24"/>
        </w:rPr>
        <w:t xml:space="preserve"> </w:t>
      </w:r>
      <w:r w:rsidRPr="00F26CD0">
        <w:rPr>
          <w:rFonts w:ascii="Times New Roman" w:hAnsi="Times New Roman" w:cs="Times New Roman"/>
          <w:sz w:val="24"/>
        </w:rPr>
        <w:t xml:space="preserve">Peraturan Pemerintah No. 10 tahun 1961 tentang    Pendaftaran  Tanah karena peraturan ini berlaku umum, maka terdapat juga didalamnya mengenai pendaftaran tanah wakaf.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c) </w:t>
      </w:r>
      <w:r>
        <w:rPr>
          <w:rFonts w:ascii="Times New Roman" w:hAnsi="Times New Roman" w:cs="Times New Roman"/>
          <w:sz w:val="24"/>
        </w:rPr>
        <w:t xml:space="preserve"> </w:t>
      </w:r>
      <w:r w:rsidRPr="00F26CD0">
        <w:rPr>
          <w:rFonts w:ascii="Times New Roman" w:hAnsi="Times New Roman" w:cs="Times New Roman"/>
          <w:sz w:val="24"/>
        </w:rPr>
        <w:t>Peraturan Menteri Agraria No. 14 Tahun 1961 tentang permintaan dan pemberian izin pemindahan Hak Atas Tanah. Peraturan ini dikeluarkan pada tanggal 23 September 1961.</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d) Peraturan Pemerintah No. 38 tahun 1963 tentang penunjukan badan-badan hukum yang dapat mempunyai hak milik atas tanah. Dikeluarkannya PP No. 38 tahun 1963 ini adalah sebagai satu realisasi dari apa yang dimaksud oleh pasal 21 ayat (2) UUPA yang berbunyi Pasal 1 PP No. 38 tahun 1963 selain menyebutkan bankbank negara, (huruf a) dan perkumpulan-perkumpulan koperasi pertanian, (huruf b) sebagai badan-badan hukum yang dapat mempunyai hak milik atas tanah, selanjutnya disebutkan pula (huruf c) badan-badan keagamaan yang ditunjuk oleh Menteri Pertanahan setelah mendengar Menteri Kesejahteraan sosial.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e) Peraturan Pemerintah No. 28 Tahun 1977 tentang Perwakafan Tanah Milik, seperti dinyatakan dalam konsiderennya pada bagian menimbang huruf c, maka peraturan pemerintah ini dikeluarkan untuk memenuhi yang telah ditentukan oleh pasal 14 ayat (1) huruf  b dan pasal 49 ayat (3) UU No. 5/ 1960.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f) Peraturan Menteri Dalam Negeri No. 6 Tahun 1977 tentang Tata Pendaftaran Mengenai Perwakafan Tanah Milik.  </w:t>
      </w:r>
    </w:p>
    <w:p w:rsidR="00F26CD0" w:rsidRP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g) Peraturan Menteri Agama No.  1 Tahun 1978 tentang Peraturan Pelaksanaan PP No. 28 tahun 1977 Perwakafan Tanah Milik. </w:t>
      </w:r>
    </w:p>
    <w:p w:rsidR="00F26CD0" w:rsidRP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 </w:t>
      </w:r>
    </w:p>
    <w:p w:rsidR="00F26CD0" w:rsidRP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lastRenderedPageBreak/>
        <w:t xml:space="preserve">h) Peraturan Menteri Dalam Negeri No. 12 Tahun 1978 tentang Penambahan ketentuan mengenai biaya pendaftaran tanah untuk Badan-badan hukum tertentu pada Peraturan Menteri Dalam Negeri No. 2 Tahun 1978 pasal 4a ayat (2). </w:t>
      </w:r>
    </w:p>
    <w:p w:rsidR="00F26CD0" w:rsidRP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i) Permendagri No. 12 Tahun 1978 ini menentukan “Untuk Badanbadan hukum sosial dan keagamaan yang ditunjuk oleh Menteri yang bersangkutan, berlaku ketentuan biaya pendaftaran hak dan pembuatan sertifikat sebagai yang ditetapkan, sepanjang tanah yang bersangkutan dipergunakan untuk keperluan sosial atau keagamaan”. Yang dimaksud tanah untuk keperluan kegiatan sosial dan keagamaan tersebut diatas, tentu termasuk tanah wakaf. Dan seperti ditegaskan oleh ayat (1) pasal 4a  ini, maka biaya pendaftaran hak dan pembuatan sertifikat sebesar 10 kali tarif yang ditetapkan dalam Bab II.</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j) Instruksi bersama Menteri Agama dan Menteri Dalam Negeri No. 1 Tahun 1978 tentang pelaksanaan Peraturan Pemerintah No. 28 Tahun 1977 tentang Perwakafan Tanah Milik. Instruksi ini ditujukan kepada Gubernur Kepala Daerah Tingkat I dan Kepala Kantor Wilayah Departemen Agama seluruh Indonesia.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k) Keputusan Menteri Dalam Negeri No. 348 Tahun 1982 tentang penyertifikatan tanah bagi Badan Hukum Keagamaan, Badan Hukum sosial dan lembaga pendidikan yang menjadi objek proyek operasi nasional Agraria. Dalam keputusan Menteri dalam Negeri ini dengan jelas disebutkan bahwa   dalam penyertifikatan tanah secara masal, maka tanah-tanah   yang dikuasai atau dipunyai oleh Badan Hukum Keagamaan, Badan Hukum Sosial, dan lembaga Pendidikan yang dipergunakan secara langsung untuk kepentingandi bidang keagamaan, sosial dan pendidikan dapat dijadikan objek proyek nasional agraria.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l) Peraturan Direktur Jendral Bimbingan Masyarakat Islam No. Kep/D/75/78 tanggal 18 April 1978 tentang formulir dan Pedoman Pelaksanaan Peraturan tentang Perwakafan Tanah Milik.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m) Keputusan Menteri Agama No.73 Tahun 1978 tentang Pendelegasian Wewenang Kepala Kantor Wilayah Departemen Agama Propinsi/ setingkat diseluruh Indonesia untuk mengangkat atau memberhentikan setiap Kepala Kantor Urusan Agama Kecamatan sebagai Pejabat Pembuat  Akte Ikrar Wakaf (PPAIW).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 n) Instruksi Menteri Agama No. 3 Tahun 1979 tentang Petunjuk Pelaksanaan Keputusan Menteri Agama No. 73 Tahun 1978.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o) Surat Dirjen Bimas Islam dan Urusan Haji No. DII/5Ed/14/1980 tanggal 25 Juni 1980 tentang pemakaian bea materai dengan lampiran Surat Dirjen Pajak No. S-629/Pj.33/1980 tanggal 29 Mei 1980 yang menentukan jenis formulir mana yang dikenakan bea materai, dan berapa besar materainya.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p) Surat Dirjen Bimas Islam dan urusan Haji No. DII/5Ed/14/1981 tanggal 17 Februari 1981 kepada Gubernur Daerah Tingkat I di seluruh Indonesia, tentang Pendaftaran Perwakafan tanah milik dan permohonan keringanan atau pembebasan biaya.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lastRenderedPageBreak/>
        <w:t>q) Surat Dirjen Bimas Islam dan Urusan Haji No.DII/5ED/14/1981 tentang Petunjuk Pemberian Nomor pada formulir Perwakafan</w:t>
      </w:r>
      <w:r>
        <w:rPr>
          <w:rFonts w:ascii="Times New Roman" w:hAnsi="Times New Roman" w:cs="Times New Roman"/>
          <w:sz w:val="24"/>
        </w:rPr>
        <w:t xml:space="preserve"> </w:t>
      </w:r>
      <w:r w:rsidRPr="00F26CD0">
        <w:rPr>
          <w:rFonts w:ascii="Times New Roman" w:hAnsi="Times New Roman" w:cs="Times New Roman"/>
          <w:sz w:val="24"/>
        </w:rPr>
        <w:t>Tanah Milik. Selain sebagai peraturan instruksi dan edaran seperti disebutkan terdahulu, secara khusus masih ada instruksi dari Gubernur Kepala Daerah Tingkat I Sumatera Barat, Sumatera Utara, Nusa Tenggara Barat, Daerah Istimewa Aceh dan Daerah Khusus Ibu Kota Jakarta mengenai pendaftaran tanah wakaf di daerah masing-masing.</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r) Daerah Khusus Ibu Kota Jakarta mengenai pendaftaran Tanah Wak</w:t>
      </w:r>
      <w:r w:rsidR="0020749C">
        <w:rPr>
          <w:rFonts w:ascii="Times New Roman" w:hAnsi="Times New Roman" w:cs="Times New Roman"/>
          <w:sz w:val="24"/>
        </w:rPr>
        <w:t>af di daerah masing-masing.19</w:t>
      </w:r>
    </w:p>
    <w:p w:rsidR="00F26CD0" w:rsidRDefault="00F26CD0" w:rsidP="00F26CD0">
      <w:pPr>
        <w:jc w:val="both"/>
        <w:rPr>
          <w:rFonts w:ascii="Times New Roman" w:hAnsi="Times New Roman" w:cs="Times New Roman"/>
          <w:sz w:val="24"/>
        </w:rPr>
      </w:pPr>
      <w:r>
        <w:rPr>
          <w:rFonts w:ascii="Times New Roman" w:hAnsi="Times New Roman" w:cs="Times New Roman"/>
          <w:sz w:val="24"/>
        </w:rPr>
        <w:t xml:space="preserve">          </w:t>
      </w:r>
      <w:r w:rsidRPr="00F26CD0">
        <w:rPr>
          <w:rFonts w:ascii="Times New Roman" w:hAnsi="Times New Roman" w:cs="Times New Roman"/>
          <w:sz w:val="24"/>
        </w:rPr>
        <w:t>Disamping itu peraturan-peraturan yang langsung berkenaan dengan masalah perwakafan, sebagaimana telah disebutkan ada juga beberapa peraturan perundang-undangan yang tidak langsung yakni peraturan perundang-undangan yang menyebut tentang perwakafan tanah milik. Peraturan per Undang-Undangan itu antara lain sebagai berikut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1) UU No. 5 Tahun 1960, tentang Peraturan Dasar Pokok-Pokok Agraria, tanggal 24 September Tahun 1960. Pasal 49 ayat (3) UU No. 5 Tahun 1960 memberi isyarat bahwa “Perwakafan Tanah Milik dilindungi dan diatur dengan Peraturan Pemerintah.”</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2) PP No. 10 Tahun 1961 tanggal 23 Maret Tahun 1961 tentang pendaftaran tanah. Peraturan ini berlaku umum, artinya semua tanah. Oleh karena itu peraturan ini juga berlaku untuk tanah wakaf.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3) Peraturan Menteri Agraria No. 14 Tahun 1961 tentang Permintaan dan Pemberian ijin Pemindahan Hak Atas Tanah. Peraturan ini dikeluarkan pada tanggal 23 September Tahun 1961.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4) PP No. 38 Tahun 1963 tentang penunjukan Badan-badan Hukum yang dapat mempunyai hak milik atas tanah.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 xml:space="preserve">5) Peraturan Menteri Dalam Negeri No. 2 Tahun 1978 tentang Biaya Pendaftaran Tanah.  </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6) Keputusan Menteri Dalam Negeri No. 348 Tahun 1982 tentang Penyertifikatan Tanah Bagi Badan Hukum Keagamaan, Badan Hukum Sosial dan Lembaga Pendidikan yang menjadi objek Proyek Operasi Nasional Agraria.</w:t>
      </w:r>
    </w:p>
    <w:p w:rsidR="00F26CD0" w:rsidRDefault="00F26CD0" w:rsidP="00F26CD0">
      <w:pPr>
        <w:ind w:left="709" w:hanging="283"/>
        <w:jc w:val="both"/>
        <w:rPr>
          <w:rFonts w:ascii="Times New Roman" w:hAnsi="Times New Roman" w:cs="Times New Roman"/>
          <w:sz w:val="24"/>
        </w:rPr>
      </w:pPr>
      <w:r w:rsidRPr="00F26CD0">
        <w:rPr>
          <w:rFonts w:ascii="Times New Roman" w:hAnsi="Times New Roman" w:cs="Times New Roman"/>
          <w:sz w:val="24"/>
        </w:rPr>
        <w:t>7) Surat Menteri Dalam Negeri No. SK.178/DJA/1982 tentang penunjukan Badan Kesejahteraan Masjid (BKM) pusat sebagai badan hukum yang dapat mempunyai tanah dengan hak milik</w:t>
      </w:r>
    </w:p>
    <w:p w:rsidR="0020749C" w:rsidRDefault="00F26CD0" w:rsidP="00F26CD0">
      <w:pPr>
        <w:jc w:val="both"/>
        <w:rPr>
          <w:rFonts w:ascii="Times New Roman" w:hAnsi="Times New Roman" w:cs="Times New Roman"/>
          <w:sz w:val="24"/>
        </w:rPr>
      </w:pPr>
      <w:r>
        <w:rPr>
          <w:rFonts w:ascii="Times New Roman" w:hAnsi="Times New Roman" w:cs="Times New Roman"/>
          <w:sz w:val="24"/>
        </w:rPr>
        <w:t xml:space="preserve">          </w:t>
      </w:r>
      <w:r w:rsidRPr="00F26CD0">
        <w:rPr>
          <w:rFonts w:ascii="Times New Roman" w:hAnsi="Times New Roman" w:cs="Times New Roman"/>
          <w:sz w:val="24"/>
        </w:rPr>
        <w:t xml:space="preserve">Di Indonesia, pada awalnya bentuk wakaf yang dikenal masyarakat secara luas hanya dalam wakaf tanah, namun kini setelah dikeluarkannya peraturan perundang-undangan Nomor 41 tahun 2004 tentang wakaf tunai, masyarakat telah mengenal bahwa wakaf tidak hanya tanah, tetpi wakaf dapat berbentu uang. Perbincangan tentang wakaf sejak awal memang selalu diarahkan pada wakaf benda  tidak  bergerak  seperti  tanah,  bangunan,  pohon  untuk  diambil  buahnya  dan sumur  untuk  dambil  airnya.  Sedangkan untuk wakaf benda tidak bergerak baru mengemuka belakangan  ini. Di  antara wakaf  benda  bergerak  yang  sedang  banyak dibicarakan adalah bentuk wakaf yang dengan sebutan Cash Waqf, yang diterjemahkan  dengan  wakaf  uang.21  Namun jika melihat objek wakafnya yang berupa uang, maka wakaf  ini  lebih  tepat  kalau  diterjemahkan  dengan wakaf  uang. Wakaf tunai adalah wakaf yang dilakukan seseorang, kelompok orang, dan lembaga atau badan </w:t>
      </w:r>
      <w:r w:rsidR="0020749C">
        <w:rPr>
          <w:rFonts w:ascii="Times New Roman" w:hAnsi="Times New Roman" w:cs="Times New Roman"/>
          <w:sz w:val="24"/>
        </w:rPr>
        <w:t>hukum dalam bentuk uang tunai.</w:t>
      </w:r>
    </w:p>
    <w:p w:rsidR="0020749C" w:rsidRDefault="0020749C" w:rsidP="00F26CD0">
      <w:pPr>
        <w:jc w:val="both"/>
        <w:rPr>
          <w:rFonts w:ascii="Times New Roman" w:hAnsi="Times New Roman" w:cs="Times New Roman"/>
          <w:sz w:val="24"/>
        </w:rPr>
      </w:pPr>
      <w:r>
        <w:rPr>
          <w:rFonts w:ascii="Times New Roman" w:hAnsi="Times New Roman" w:cs="Times New Roman"/>
          <w:sz w:val="24"/>
        </w:rPr>
        <w:lastRenderedPageBreak/>
        <w:t xml:space="preserve">          </w:t>
      </w:r>
      <w:r w:rsidR="00F26CD0" w:rsidRPr="00F26CD0">
        <w:rPr>
          <w:rFonts w:ascii="Times New Roman" w:hAnsi="Times New Roman" w:cs="Times New Roman"/>
          <w:sz w:val="24"/>
        </w:rPr>
        <w:t xml:space="preserve"> Sesuai dengan keputusan fatwa Majelis Ulama Indonesia (MUI) tertanggal 26 April 2002 diterangkan bahwa yang dimaksud dengan wakaf uang (cash wakaf/ waqf al-nuqud)  adalah wakaf  yang  dilakukan  seseorang,  kelompok  orang,  lembaga  atau badan hukum dalam bentuk uang  tunai. Dalam pengertian tersebut, yang dimaksud dengan  uang  adalah  surat-su</w:t>
      </w:r>
      <w:r>
        <w:rPr>
          <w:rFonts w:ascii="Times New Roman" w:hAnsi="Times New Roman" w:cs="Times New Roman"/>
          <w:sz w:val="24"/>
        </w:rPr>
        <w:t>rat  berharga.</w:t>
      </w:r>
    </w:p>
    <w:p w:rsidR="0020749C" w:rsidRDefault="0020749C" w:rsidP="00F26CD0">
      <w:pPr>
        <w:jc w:val="both"/>
        <w:rPr>
          <w:rFonts w:ascii="Times New Roman" w:hAnsi="Times New Roman" w:cs="Times New Roman"/>
          <w:sz w:val="24"/>
        </w:rPr>
      </w:pPr>
      <w:r>
        <w:rPr>
          <w:rFonts w:ascii="Times New Roman" w:hAnsi="Times New Roman" w:cs="Times New Roman"/>
          <w:sz w:val="24"/>
        </w:rPr>
        <w:t xml:space="preserve">          </w:t>
      </w:r>
      <w:r w:rsidR="00F26CD0" w:rsidRPr="00F26CD0">
        <w:rPr>
          <w:rFonts w:ascii="Times New Roman" w:hAnsi="Times New Roman" w:cs="Times New Roman"/>
          <w:sz w:val="24"/>
        </w:rPr>
        <w:t xml:space="preserve">Wakaf  tunai  ini  termasuk  salah  satu wakaf  produktif.  Seorang  ahli  zakat  K.H. Didin Hafiduddin menjelaskan bahwa wakaf produktif merupakan pemberian dalam bentuk sesuatu yang bisa diupayakan untuk digulirkan untuk kebaikan dan kemaslahatan umat. Mengenai bentuknya bisa berupa </w:t>
      </w:r>
      <w:r>
        <w:rPr>
          <w:rFonts w:ascii="Times New Roman" w:hAnsi="Times New Roman" w:cs="Times New Roman"/>
          <w:sz w:val="24"/>
        </w:rPr>
        <w:t>uang maupun surat-surat berharga</w:t>
      </w:r>
    </w:p>
    <w:p w:rsidR="0020749C" w:rsidRDefault="0020749C" w:rsidP="00F26CD0">
      <w:pPr>
        <w:jc w:val="both"/>
        <w:rPr>
          <w:rFonts w:ascii="Times New Roman" w:hAnsi="Times New Roman" w:cs="Times New Roman"/>
          <w:sz w:val="24"/>
        </w:rPr>
      </w:pPr>
      <w:r>
        <w:rPr>
          <w:rFonts w:ascii="Times New Roman" w:hAnsi="Times New Roman" w:cs="Times New Roman"/>
          <w:sz w:val="24"/>
        </w:rPr>
        <w:t xml:space="preserve">          </w:t>
      </w:r>
      <w:r w:rsidRPr="0020749C">
        <w:rPr>
          <w:rFonts w:ascii="Times New Roman" w:hAnsi="Times New Roman" w:cs="Times New Roman"/>
          <w:sz w:val="24"/>
        </w:rPr>
        <w:t>Di Indonesia  sendiri, wakaf uang memang  tergolong masih baru. Salah satu contoh  wakaf  uang  di  Indonesia  adalah  Layanan  Kesehatan Cuma-Cuma (LKC) Dompet Dhu‟afa  Republika. Lembaga otonom Dompet Dhu‟afa Republika ini memberikan fasilitas permanen untuk kaum dhu‟afa. Dengan adanya layanan kesehatan ini, golongan masyarakat miskin bisa memperoleh haknya tanpa perlu dibebankan oleh biaya-biaya seperti halnya rumah sakit konvensional</w:t>
      </w:r>
      <w:r>
        <w:rPr>
          <w:rStyle w:val="FootnoteReference"/>
          <w:rFonts w:ascii="Times New Roman" w:hAnsi="Times New Roman" w:cs="Times New Roman"/>
          <w:sz w:val="24"/>
        </w:rPr>
        <w:footnoteReference w:id="10"/>
      </w: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Pr="0020749C" w:rsidRDefault="0020749C" w:rsidP="00F26CD0">
      <w:pPr>
        <w:jc w:val="both"/>
        <w:rPr>
          <w:rFonts w:ascii="Times New Roman" w:hAnsi="Times New Roman" w:cs="Times New Roman"/>
          <w:b/>
          <w:sz w:val="24"/>
        </w:rPr>
      </w:pPr>
      <w:r w:rsidRPr="0020749C">
        <w:rPr>
          <w:rFonts w:ascii="Times New Roman" w:hAnsi="Times New Roman" w:cs="Times New Roman"/>
          <w:b/>
          <w:sz w:val="24"/>
        </w:rPr>
        <w:lastRenderedPageBreak/>
        <w:t>C. Penutup</w:t>
      </w:r>
    </w:p>
    <w:p w:rsidR="0020749C" w:rsidRDefault="0020749C" w:rsidP="00F26CD0">
      <w:pPr>
        <w:jc w:val="both"/>
        <w:rPr>
          <w:rFonts w:ascii="Times New Roman" w:hAnsi="Times New Roman" w:cs="Times New Roman"/>
          <w:sz w:val="24"/>
        </w:rPr>
      </w:pPr>
      <w:r>
        <w:rPr>
          <w:rFonts w:ascii="Times New Roman" w:hAnsi="Times New Roman" w:cs="Times New Roman"/>
          <w:sz w:val="24"/>
        </w:rPr>
        <w:t xml:space="preserve">          </w:t>
      </w:r>
      <w:r w:rsidRPr="0020749C">
        <w:rPr>
          <w:rFonts w:ascii="Times New Roman" w:hAnsi="Times New Roman" w:cs="Times New Roman"/>
          <w:sz w:val="24"/>
        </w:rPr>
        <w:t xml:space="preserve"> Berdasarkan pembahasan di atas dan demi menjawab permasalahan yang ada, maka dapat penulis simpulkan yaitu sebagai berikut: </w:t>
      </w:r>
    </w:p>
    <w:p w:rsidR="0020749C" w:rsidRDefault="0020749C" w:rsidP="0020749C">
      <w:pPr>
        <w:ind w:left="567" w:hanging="425"/>
        <w:jc w:val="both"/>
        <w:rPr>
          <w:rFonts w:ascii="Times New Roman" w:hAnsi="Times New Roman" w:cs="Times New Roman"/>
          <w:sz w:val="24"/>
        </w:rPr>
      </w:pPr>
      <w:r w:rsidRPr="0020749C">
        <w:rPr>
          <w:rFonts w:ascii="Times New Roman" w:hAnsi="Times New Roman" w:cs="Times New Roman"/>
          <w:sz w:val="24"/>
        </w:rPr>
        <w:t xml:space="preserve">1.  Wakaf adalah menahan tindakan hukum orang yang berwakaf terhadap hartanya yang telah diwakafkan dengan tujuan untuk dimanfaatkan bagi kepentingan unum dan kebajikan dalam rangka mendekatkan diri pada Allah SWT, sedangkan materinya tetap utuh”. Harta yang sudah diwakafkan tidak lagi menjadi milik Wakif dan akadnya bersifat mengikat.  </w:t>
      </w:r>
    </w:p>
    <w:p w:rsidR="0020749C" w:rsidRDefault="0020749C" w:rsidP="00F26CD0">
      <w:pPr>
        <w:jc w:val="both"/>
        <w:rPr>
          <w:rFonts w:ascii="Times New Roman" w:hAnsi="Times New Roman" w:cs="Times New Roman"/>
          <w:sz w:val="24"/>
        </w:rPr>
      </w:pPr>
      <w:r w:rsidRPr="0020749C">
        <w:rPr>
          <w:rFonts w:ascii="Times New Roman" w:hAnsi="Times New Roman" w:cs="Times New Roman"/>
          <w:sz w:val="24"/>
        </w:rPr>
        <w:t>2.   Di Indonesia, sejarah wakaf dimulai dari awal masuknya Islam di Indonesia</w:t>
      </w: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F26CD0">
      <w:pPr>
        <w:jc w:val="both"/>
        <w:rPr>
          <w:rFonts w:ascii="Times New Roman" w:hAnsi="Times New Roman" w:cs="Times New Roman"/>
          <w:sz w:val="24"/>
        </w:rPr>
      </w:pPr>
    </w:p>
    <w:p w:rsidR="0020749C" w:rsidRDefault="0020749C" w:rsidP="0020749C">
      <w:pPr>
        <w:jc w:val="center"/>
        <w:rPr>
          <w:rFonts w:ascii="Times New Roman" w:hAnsi="Times New Roman" w:cs="Times New Roman"/>
          <w:b/>
          <w:sz w:val="28"/>
          <w:szCs w:val="28"/>
        </w:rPr>
      </w:pPr>
      <w:r w:rsidRPr="0020749C">
        <w:rPr>
          <w:rFonts w:ascii="Times New Roman" w:hAnsi="Times New Roman" w:cs="Times New Roman"/>
          <w:b/>
          <w:sz w:val="28"/>
          <w:szCs w:val="28"/>
        </w:rPr>
        <w:lastRenderedPageBreak/>
        <w:t>DAFTAR PUSTAKA</w:t>
      </w:r>
    </w:p>
    <w:p w:rsidR="0020749C" w:rsidRDefault="0020749C" w:rsidP="0020749C">
      <w:pPr>
        <w:rPr>
          <w:rFonts w:ascii="Times New Roman" w:hAnsi="Times New Roman" w:cs="Times New Roman"/>
          <w:b/>
          <w:sz w:val="24"/>
          <w:szCs w:val="24"/>
        </w:rPr>
      </w:pPr>
      <w:r>
        <w:rPr>
          <w:rFonts w:ascii="Times New Roman" w:hAnsi="Times New Roman" w:cs="Times New Roman"/>
          <w:b/>
          <w:sz w:val="24"/>
          <w:szCs w:val="24"/>
        </w:rPr>
        <w:t>Jurnal</w:t>
      </w:r>
    </w:p>
    <w:p w:rsidR="0020749C" w:rsidRDefault="0020749C" w:rsidP="0020749C">
      <w:pPr>
        <w:rPr>
          <w:rFonts w:ascii="Times New Roman" w:hAnsi="Times New Roman" w:cs="Times New Roman"/>
        </w:rPr>
      </w:pPr>
      <w:r>
        <w:rPr>
          <w:rFonts w:ascii="Times New Roman" w:hAnsi="Times New Roman" w:cs="Times New Roman"/>
        </w:rPr>
        <w:t>Itang,</w:t>
      </w:r>
      <w:r w:rsidRPr="00B16389">
        <w:rPr>
          <w:rFonts w:ascii="Times New Roman" w:hAnsi="Times New Roman" w:cs="Times New Roman"/>
        </w:rPr>
        <w:t xml:space="preserve"> Iik Syakhabyatin</w:t>
      </w:r>
      <w:r>
        <w:rPr>
          <w:rFonts w:ascii="Times New Roman" w:hAnsi="Times New Roman" w:cs="Times New Roman"/>
        </w:rPr>
        <w:t xml:space="preserve">, Sejarah Wakaf  di Indonesia, jurnal: Hukum wakaf, </w:t>
      </w:r>
      <w:r w:rsidRPr="00B16389">
        <w:rPr>
          <w:rFonts w:ascii="Times New Roman" w:hAnsi="Times New Roman" w:cs="Times New Roman"/>
        </w:rPr>
        <w:t>Vol</w:t>
      </w:r>
      <w:r>
        <w:rPr>
          <w:rFonts w:ascii="Times New Roman" w:hAnsi="Times New Roman" w:cs="Times New Roman"/>
        </w:rPr>
        <w:t xml:space="preserve">ume, </w:t>
      </w:r>
      <w:r w:rsidRPr="00B16389">
        <w:rPr>
          <w:rFonts w:ascii="Times New Roman" w:hAnsi="Times New Roman" w:cs="Times New Roman"/>
        </w:rPr>
        <w:t>18 No</w:t>
      </w:r>
      <w:r>
        <w:rPr>
          <w:rFonts w:ascii="Times New Roman" w:hAnsi="Times New Roman" w:cs="Times New Roman"/>
        </w:rPr>
        <w:t xml:space="preserve">mor </w:t>
      </w:r>
      <w:r w:rsidRPr="00B16389">
        <w:rPr>
          <w:rFonts w:ascii="Times New Roman" w:hAnsi="Times New Roman" w:cs="Times New Roman"/>
        </w:rPr>
        <w:t>2</w:t>
      </w:r>
      <w:r>
        <w:rPr>
          <w:rFonts w:ascii="Times New Roman" w:hAnsi="Times New Roman" w:cs="Times New Roman"/>
        </w:rPr>
        <w:t xml:space="preserve">, Juli-Desember </w:t>
      </w:r>
      <w:r w:rsidRPr="00B16389">
        <w:rPr>
          <w:rFonts w:ascii="Times New Roman" w:hAnsi="Times New Roman" w:cs="Times New Roman"/>
        </w:rPr>
        <w:t>2017</w:t>
      </w:r>
    </w:p>
    <w:p w:rsidR="0020749C" w:rsidRPr="0020749C" w:rsidRDefault="0020749C" w:rsidP="0020749C">
      <w:pPr>
        <w:rPr>
          <w:rFonts w:ascii="Times New Roman" w:hAnsi="Times New Roman" w:cs="Times New Roman"/>
          <w:b/>
        </w:rPr>
      </w:pPr>
      <w:r w:rsidRPr="0020749C">
        <w:rPr>
          <w:rFonts w:ascii="Times New Roman" w:hAnsi="Times New Roman" w:cs="Times New Roman"/>
          <w:b/>
        </w:rPr>
        <w:t>Website</w:t>
      </w:r>
    </w:p>
    <w:p w:rsidR="0020749C" w:rsidRPr="0020749C" w:rsidRDefault="0020749C" w:rsidP="0020749C">
      <w:pPr>
        <w:rPr>
          <w:rFonts w:ascii="Times New Roman" w:hAnsi="Times New Roman" w:cs="Times New Roman"/>
          <w:sz w:val="24"/>
          <w:szCs w:val="24"/>
        </w:rPr>
      </w:pPr>
      <w:hyperlink r:id="rId7" w:history="1">
        <w:r w:rsidRPr="0020749C">
          <w:rPr>
            <w:rStyle w:val="Hyperlink"/>
            <w:rFonts w:ascii="Times New Roman" w:hAnsi="Times New Roman" w:cs="Times New Roman"/>
            <w:color w:val="auto"/>
            <w:sz w:val="24"/>
            <w:szCs w:val="24"/>
          </w:rPr>
          <w:t>http://repository.unpas.ac.id/37507/1/H.%20BAB%203.pdf</w:t>
        </w:r>
      </w:hyperlink>
    </w:p>
    <w:p w:rsidR="0020749C" w:rsidRDefault="0020749C" w:rsidP="0020749C">
      <w:pPr>
        <w:rPr>
          <w:rFonts w:ascii="Times New Roman" w:hAnsi="Times New Roman" w:cs="Times New Roman"/>
          <w:b/>
          <w:sz w:val="24"/>
          <w:szCs w:val="24"/>
        </w:rPr>
      </w:pPr>
      <w:r w:rsidRPr="0020749C">
        <w:rPr>
          <w:rFonts w:ascii="Times New Roman" w:hAnsi="Times New Roman" w:cs="Times New Roman"/>
          <w:b/>
          <w:sz w:val="24"/>
          <w:szCs w:val="24"/>
        </w:rPr>
        <w:t>Buku</w:t>
      </w:r>
    </w:p>
    <w:p w:rsidR="0020749C" w:rsidRPr="0020749C" w:rsidRDefault="0020749C" w:rsidP="0020749C">
      <w:pPr>
        <w:rPr>
          <w:rFonts w:ascii="Times New Roman" w:hAnsi="Times New Roman" w:cs="Times New Roman"/>
          <w:b/>
          <w:sz w:val="24"/>
          <w:szCs w:val="24"/>
        </w:rPr>
      </w:pPr>
      <w:r w:rsidRPr="00AF7860">
        <w:rPr>
          <w:rFonts w:ascii="Times New Roman" w:hAnsi="Times New Roman" w:cs="Times New Roman"/>
        </w:rPr>
        <w:t xml:space="preserve">iska Lis Sulistiani , Pembaruan Hukum Wakaf Di Inonesia, ( Bandung PT Refika Aditama, Februari </w:t>
      </w:r>
      <w:r>
        <w:rPr>
          <w:rFonts w:ascii="Times New Roman" w:hAnsi="Times New Roman" w:cs="Times New Roman"/>
        </w:rPr>
        <w:t>2017)</w:t>
      </w:r>
    </w:p>
    <w:sectPr w:rsidR="0020749C" w:rsidRPr="002074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B0E" w:rsidRDefault="00225B0E" w:rsidP="00B16389">
      <w:pPr>
        <w:spacing w:after="0" w:line="240" w:lineRule="auto"/>
      </w:pPr>
      <w:r>
        <w:separator/>
      </w:r>
    </w:p>
  </w:endnote>
  <w:endnote w:type="continuationSeparator" w:id="0">
    <w:p w:rsidR="00225B0E" w:rsidRDefault="00225B0E" w:rsidP="00B1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B0E" w:rsidRDefault="00225B0E" w:rsidP="00B16389">
      <w:pPr>
        <w:spacing w:after="0" w:line="240" w:lineRule="auto"/>
      </w:pPr>
      <w:r>
        <w:separator/>
      </w:r>
    </w:p>
  </w:footnote>
  <w:footnote w:type="continuationSeparator" w:id="0">
    <w:p w:rsidR="00225B0E" w:rsidRDefault="00225B0E" w:rsidP="00B16389">
      <w:pPr>
        <w:spacing w:after="0" w:line="240" w:lineRule="auto"/>
      </w:pPr>
      <w:r>
        <w:continuationSeparator/>
      </w:r>
    </w:p>
  </w:footnote>
  <w:footnote w:id="1">
    <w:p w:rsidR="00B16389" w:rsidRDefault="00B16389">
      <w:pPr>
        <w:pStyle w:val="FootnoteText"/>
      </w:pPr>
      <w:r>
        <w:t xml:space="preserve">          </w:t>
      </w:r>
      <w:r>
        <w:rPr>
          <w:rStyle w:val="FootnoteReference"/>
        </w:rPr>
        <w:footnoteRef/>
      </w:r>
      <w:r>
        <w:t xml:space="preserve"> </w:t>
      </w:r>
      <w:r>
        <w:rPr>
          <w:rFonts w:ascii="Times New Roman" w:hAnsi="Times New Roman" w:cs="Times New Roman"/>
        </w:rPr>
        <w:t>Itang,</w:t>
      </w:r>
      <w:r w:rsidRPr="00B16389">
        <w:rPr>
          <w:rFonts w:ascii="Times New Roman" w:hAnsi="Times New Roman" w:cs="Times New Roman"/>
        </w:rPr>
        <w:t xml:space="preserve"> Iik Syakhabyatin</w:t>
      </w:r>
      <w:r>
        <w:rPr>
          <w:rFonts w:ascii="Times New Roman" w:hAnsi="Times New Roman" w:cs="Times New Roman"/>
        </w:rPr>
        <w:t xml:space="preserve">, Sejarah Wakaf  di Indonesia, jurnal: Hukum wakaf, </w:t>
      </w:r>
      <w:r w:rsidRPr="00B16389">
        <w:rPr>
          <w:rFonts w:ascii="Times New Roman" w:hAnsi="Times New Roman" w:cs="Times New Roman"/>
        </w:rPr>
        <w:t>Vol</w:t>
      </w:r>
      <w:r>
        <w:rPr>
          <w:rFonts w:ascii="Times New Roman" w:hAnsi="Times New Roman" w:cs="Times New Roman"/>
        </w:rPr>
        <w:t xml:space="preserve">ume, </w:t>
      </w:r>
      <w:r w:rsidRPr="00B16389">
        <w:rPr>
          <w:rFonts w:ascii="Times New Roman" w:hAnsi="Times New Roman" w:cs="Times New Roman"/>
        </w:rPr>
        <w:t>18 No</w:t>
      </w:r>
      <w:r>
        <w:rPr>
          <w:rFonts w:ascii="Times New Roman" w:hAnsi="Times New Roman" w:cs="Times New Roman"/>
        </w:rPr>
        <w:t xml:space="preserve">mor </w:t>
      </w:r>
      <w:r w:rsidRPr="00B16389">
        <w:rPr>
          <w:rFonts w:ascii="Times New Roman" w:hAnsi="Times New Roman" w:cs="Times New Roman"/>
        </w:rPr>
        <w:t>2</w:t>
      </w:r>
      <w:r>
        <w:rPr>
          <w:rFonts w:ascii="Times New Roman" w:hAnsi="Times New Roman" w:cs="Times New Roman"/>
        </w:rPr>
        <w:t xml:space="preserve">, Juli-Desember </w:t>
      </w:r>
      <w:r w:rsidRPr="00B16389">
        <w:rPr>
          <w:rFonts w:ascii="Times New Roman" w:hAnsi="Times New Roman" w:cs="Times New Roman"/>
        </w:rPr>
        <w:t>2017</w:t>
      </w:r>
    </w:p>
  </w:footnote>
  <w:footnote w:id="2">
    <w:p w:rsidR="00B16389" w:rsidRDefault="00B16389">
      <w:pPr>
        <w:pStyle w:val="FootnoteText"/>
      </w:pPr>
      <w:r>
        <w:t xml:space="preserve">          </w:t>
      </w:r>
      <w:r>
        <w:rPr>
          <w:rStyle w:val="FootnoteReference"/>
        </w:rPr>
        <w:footnoteRef/>
      </w:r>
      <w:r w:rsidRPr="00B16389">
        <w:rPr>
          <w:rFonts w:ascii="Times New Roman" w:hAnsi="Times New Roman" w:cs="Times New Roman"/>
        </w:rPr>
        <w:t xml:space="preserve"> </w:t>
      </w:r>
      <w:r w:rsidRPr="00AF7860">
        <w:rPr>
          <w:rFonts w:ascii="Times New Roman" w:hAnsi="Times New Roman" w:cs="Times New Roman"/>
        </w:rPr>
        <w:t xml:space="preserve">iska Lis Sulistiani , Pembaruan Hukum Wakaf Di Inonesia, ( Bandung PT Refika Aditama, Februari 2017), halaman </w:t>
      </w:r>
      <w:r w:rsidR="0020749C">
        <w:rPr>
          <w:rFonts w:ascii="Times New Roman" w:hAnsi="Times New Roman" w:cs="Times New Roman"/>
        </w:rPr>
        <w:t>1-3</w:t>
      </w:r>
      <w:r w:rsidRPr="00AF7860">
        <w:rPr>
          <w:rFonts w:ascii="Times New Roman" w:hAnsi="Times New Roman" w:cs="Times New Roman"/>
        </w:rPr>
        <w:t>.</w:t>
      </w:r>
      <w:r>
        <w:t xml:space="preserve"> </w:t>
      </w:r>
    </w:p>
  </w:footnote>
  <w:footnote w:id="3">
    <w:p w:rsidR="00B16389" w:rsidRPr="00FB44EA" w:rsidRDefault="00B16389">
      <w:pPr>
        <w:pStyle w:val="FootnoteText"/>
        <w:rPr>
          <w:rFonts w:ascii="Times New Roman" w:hAnsi="Times New Roman" w:cs="Times New Roman"/>
        </w:rPr>
      </w:pPr>
      <w:r>
        <w:t xml:space="preserve">          </w:t>
      </w:r>
      <w:r w:rsidRPr="00FB44EA">
        <w:rPr>
          <w:rStyle w:val="FootnoteReference"/>
          <w:rFonts w:ascii="Times New Roman" w:hAnsi="Times New Roman" w:cs="Times New Roman"/>
        </w:rPr>
        <w:footnoteRef/>
      </w:r>
      <w:r w:rsidRPr="00FB44EA">
        <w:rPr>
          <w:rFonts w:ascii="Times New Roman" w:hAnsi="Times New Roman" w:cs="Times New Roman"/>
        </w:rPr>
        <w:t xml:space="preserve"> </w:t>
      </w:r>
      <w:r w:rsidRPr="00FB44EA">
        <w:rPr>
          <w:rFonts w:ascii="Times New Roman" w:hAnsi="Times New Roman" w:cs="Times New Roman"/>
        </w:rPr>
        <w:t>Itang, Iik Syakhabyatin, Sejarah Wakaf  di</w:t>
      </w:r>
      <w:r w:rsidRPr="00FB44EA">
        <w:rPr>
          <w:rFonts w:ascii="Times New Roman" w:hAnsi="Times New Roman" w:cs="Times New Roman"/>
        </w:rPr>
        <w:t xml:space="preserve"> Indonesia, jurnal: Hukum wakaf, </w:t>
      </w:r>
      <w:r w:rsidRPr="00FB44EA">
        <w:rPr>
          <w:rFonts w:ascii="Times New Roman" w:hAnsi="Times New Roman" w:cs="Times New Roman"/>
        </w:rPr>
        <w:t>Volume, 18 Nomor 2, Juli-Desember 2017</w:t>
      </w:r>
    </w:p>
  </w:footnote>
  <w:footnote w:id="4">
    <w:p w:rsidR="00B16389" w:rsidRPr="00FB44EA" w:rsidRDefault="00B16389">
      <w:pPr>
        <w:pStyle w:val="FootnoteText"/>
        <w:rPr>
          <w:rFonts w:ascii="Times New Roman" w:hAnsi="Times New Roman" w:cs="Times New Roman"/>
        </w:rPr>
      </w:pPr>
      <w:r w:rsidRPr="00FB44EA">
        <w:rPr>
          <w:rFonts w:ascii="Times New Roman" w:hAnsi="Times New Roman" w:cs="Times New Roman"/>
        </w:rPr>
        <w:t xml:space="preserve">          </w:t>
      </w:r>
      <w:r w:rsidRPr="00FB44EA">
        <w:rPr>
          <w:rStyle w:val="FootnoteReference"/>
          <w:rFonts w:ascii="Times New Roman" w:hAnsi="Times New Roman" w:cs="Times New Roman"/>
        </w:rPr>
        <w:footnoteRef/>
      </w:r>
      <w:r w:rsidRPr="00FB44EA">
        <w:rPr>
          <w:rFonts w:ascii="Times New Roman" w:hAnsi="Times New Roman" w:cs="Times New Roman"/>
        </w:rPr>
        <w:t xml:space="preserve"> </w:t>
      </w:r>
      <w:r w:rsidRPr="00FB44EA">
        <w:rPr>
          <w:rFonts w:ascii="Times New Roman" w:hAnsi="Times New Roman" w:cs="Times New Roman"/>
        </w:rPr>
        <w:t xml:space="preserve">Ahmad Rofiq, Hukum Islam Di Indonesia, (Jakarta: PT Raja GrafindoPersada, 1997), h. 481 </w:t>
      </w:r>
    </w:p>
  </w:footnote>
  <w:footnote w:id="5">
    <w:p w:rsidR="00FB44EA" w:rsidRPr="00FB44EA" w:rsidRDefault="00FB44EA">
      <w:pPr>
        <w:pStyle w:val="FootnoteText"/>
        <w:rPr>
          <w:rFonts w:ascii="Times New Roman" w:hAnsi="Times New Roman" w:cs="Times New Roman"/>
        </w:rPr>
      </w:pPr>
      <w:r w:rsidRPr="00FB44EA">
        <w:rPr>
          <w:rFonts w:ascii="Times New Roman" w:hAnsi="Times New Roman" w:cs="Times New Roman"/>
        </w:rPr>
        <w:t xml:space="preserve">          </w:t>
      </w:r>
      <w:r w:rsidRPr="00FB44EA">
        <w:rPr>
          <w:rStyle w:val="FootnoteReference"/>
          <w:rFonts w:ascii="Times New Roman" w:hAnsi="Times New Roman" w:cs="Times New Roman"/>
        </w:rPr>
        <w:footnoteRef/>
      </w:r>
      <w:r w:rsidRPr="00FB44EA">
        <w:rPr>
          <w:rFonts w:ascii="Times New Roman" w:hAnsi="Times New Roman" w:cs="Times New Roman"/>
        </w:rPr>
        <w:t xml:space="preserve"> </w:t>
      </w:r>
      <w:r w:rsidRPr="00FB44EA">
        <w:rPr>
          <w:rFonts w:ascii="Times New Roman" w:hAnsi="Times New Roman" w:cs="Times New Roman"/>
        </w:rPr>
        <w:t>Sayyid Sabiq, FiqihSunnah, (Bandung: Al-Ma‟arif, 1997), h. 148</w:t>
      </w:r>
    </w:p>
  </w:footnote>
  <w:footnote w:id="6">
    <w:p w:rsidR="00FB44EA" w:rsidRPr="00FB44EA" w:rsidRDefault="00FB44EA">
      <w:pPr>
        <w:pStyle w:val="FootnoteText"/>
        <w:rPr>
          <w:rFonts w:ascii="Times New Roman" w:hAnsi="Times New Roman" w:cs="Times New Roman"/>
        </w:rPr>
      </w:pPr>
      <w:r>
        <w:t xml:space="preserve">          </w:t>
      </w:r>
      <w:r w:rsidRPr="00FB44EA">
        <w:rPr>
          <w:rStyle w:val="FootnoteReference"/>
          <w:rFonts w:ascii="Times New Roman" w:hAnsi="Times New Roman" w:cs="Times New Roman"/>
        </w:rPr>
        <w:footnoteRef/>
      </w:r>
      <w:r w:rsidRPr="00FB44EA">
        <w:rPr>
          <w:rFonts w:ascii="Times New Roman" w:hAnsi="Times New Roman" w:cs="Times New Roman"/>
        </w:rPr>
        <w:t xml:space="preserve"> </w:t>
      </w:r>
      <w:r w:rsidRPr="00FB44EA">
        <w:rPr>
          <w:rFonts w:ascii="Times New Roman" w:hAnsi="Times New Roman" w:cs="Times New Roman"/>
        </w:rPr>
        <w:t>HadiSetia Tunggal, Undang-Undang RI No 41 tahun 2004 TentangWakaf, (Jakarta: Harvarindo, 2005), halaman 2</w:t>
      </w:r>
    </w:p>
  </w:footnote>
  <w:footnote w:id="7">
    <w:p w:rsidR="00FB44EA" w:rsidRPr="00FB44EA" w:rsidRDefault="00FB44EA">
      <w:pPr>
        <w:pStyle w:val="FootnoteText"/>
        <w:rPr>
          <w:rFonts w:ascii="Times New Roman" w:hAnsi="Times New Roman" w:cs="Times New Roman"/>
        </w:rPr>
      </w:pPr>
      <w:r>
        <w:t xml:space="preserve">          </w:t>
      </w:r>
      <w:r w:rsidRPr="00FB44EA">
        <w:rPr>
          <w:rStyle w:val="FootnoteReference"/>
          <w:rFonts w:ascii="Times New Roman" w:hAnsi="Times New Roman" w:cs="Times New Roman"/>
        </w:rPr>
        <w:footnoteRef/>
      </w:r>
      <w:r w:rsidRPr="00FB44EA">
        <w:rPr>
          <w:rFonts w:ascii="Times New Roman" w:hAnsi="Times New Roman" w:cs="Times New Roman"/>
        </w:rPr>
        <w:t xml:space="preserve"> </w:t>
      </w:r>
      <w:r w:rsidRPr="00FB44EA">
        <w:rPr>
          <w:rFonts w:ascii="Times New Roman" w:hAnsi="Times New Roman" w:cs="Times New Roman"/>
        </w:rPr>
        <w:t>HM Munir SA, Wakaf Tanah menurut Islam dan Perkembangannya di Indonesia, (Pekan Baru: UIR Pr</w:t>
      </w:r>
      <w:r>
        <w:rPr>
          <w:rFonts w:ascii="Times New Roman" w:hAnsi="Times New Roman" w:cs="Times New Roman"/>
        </w:rPr>
        <w:t>es Pekan Baru, 1991), h. 140-143.</w:t>
      </w:r>
    </w:p>
  </w:footnote>
  <w:footnote w:id="8">
    <w:p w:rsidR="00FB44EA" w:rsidRDefault="00FB44EA">
      <w:pPr>
        <w:pStyle w:val="FootnoteText"/>
      </w:pPr>
      <w:r>
        <w:t xml:space="preserve">          </w:t>
      </w:r>
      <w:r>
        <w:rPr>
          <w:rStyle w:val="FootnoteReference"/>
        </w:rPr>
        <w:footnoteRef/>
      </w:r>
      <w:r>
        <w:t xml:space="preserve"> </w:t>
      </w:r>
      <w:r>
        <w:rPr>
          <w:rFonts w:ascii="Times New Roman" w:hAnsi="Times New Roman" w:cs="Times New Roman"/>
        </w:rPr>
        <w:t>Itang,</w:t>
      </w:r>
      <w:r w:rsidRPr="00B16389">
        <w:rPr>
          <w:rFonts w:ascii="Times New Roman" w:hAnsi="Times New Roman" w:cs="Times New Roman"/>
        </w:rPr>
        <w:t xml:space="preserve"> Iik Syakhabyatin</w:t>
      </w:r>
      <w:r>
        <w:rPr>
          <w:rFonts w:ascii="Times New Roman" w:hAnsi="Times New Roman" w:cs="Times New Roman"/>
        </w:rPr>
        <w:t xml:space="preserve">, Sejarah Wakaf  di Indonesia, jurnal: Hukum wakaf, </w:t>
      </w:r>
      <w:r w:rsidRPr="00B16389">
        <w:rPr>
          <w:rFonts w:ascii="Times New Roman" w:hAnsi="Times New Roman" w:cs="Times New Roman"/>
        </w:rPr>
        <w:t>Vol</w:t>
      </w:r>
      <w:r>
        <w:rPr>
          <w:rFonts w:ascii="Times New Roman" w:hAnsi="Times New Roman" w:cs="Times New Roman"/>
        </w:rPr>
        <w:t xml:space="preserve">ume, </w:t>
      </w:r>
      <w:r w:rsidRPr="00B16389">
        <w:rPr>
          <w:rFonts w:ascii="Times New Roman" w:hAnsi="Times New Roman" w:cs="Times New Roman"/>
        </w:rPr>
        <w:t>18 No</w:t>
      </w:r>
      <w:r>
        <w:rPr>
          <w:rFonts w:ascii="Times New Roman" w:hAnsi="Times New Roman" w:cs="Times New Roman"/>
        </w:rPr>
        <w:t xml:space="preserve">mor </w:t>
      </w:r>
      <w:r w:rsidRPr="00B16389">
        <w:rPr>
          <w:rFonts w:ascii="Times New Roman" w:hAnsi="Times New Roman" w:cs="Times New Roman"/>
        </w:rPr>
        <w:t>2</w:t>
      </w:r>
      <w:r>
        <w:rPr>
          <w:rFonts w:ascii="Times New Roman" w:hAnsi="Times New Roman" w:cs="Times New Roman"/>
        </w:rPr>
        <w:t xml:space="preserve">, Juli-Desember </w:t>
      </w:r>
      <w:r w:rsidRPr="00B16389">
        <w:rPr>
          <w:rFonts w:ascii="Times New Roman" w:hAnsi="Times New Roman" w:cs="Times New Roman"/>
        </w:rPr>
        <w:t>2017</w:t>
      </w:r>
    </w:p>
  </w:footnote>
  <w:footnote w:id="9">
    <w:p w:rsidR="00F26CD0" w:rsidRDefault="00F26CD0">
      <w:pPr>
        <w:pStyle w:val="FootnoteText"/>
      </w:pPr>
      <w:r>
        <w:t xml:space="preserve">          </w:t>
      </w:r>
      <w:r>
        <w:rPr>
          <w:rStyle w:val="FootnoteReference"/>
        </w:rPr>
        <w:footnoteRef/>
      </w:r>
      <w:r>
        <w:t xml:space="preserve"> </w:t>
      </w:r>
      <w:r>
        <w:rPr>
          <w:rFonts w:ascii="Times New Roman" w:hAnsi="Times New Roman" w:cs="Times New Roman"/>
        </w:rPr>
        <w:t>Itang,</w:t>
      </w:r>
      <w:r w:rsidRPr="00B16389">
        <w:rPr>
          <w:rFonts w:ascii="Times New Roman" w:hAnsi="Times New Roman" w:cs="Times New Roman"/>
        </w:rPr>
        <w:t xml:space="preserve"> Iik Syakhabyatin</w:t>
      </w:r>
      <w:r>
        <w:rPr>
          <w:rFonts w:ascii="Times New Roman" w:hAnsi="Times New Roman" w:cs="Times New Roman"/>
        </w:rPr>
        <w:t xml:space="preserve">, Sejarah Wakaf  di Indonesia, jurnal: Hukum wakaf, </w:t>
      </w:r>
      <w:r w:rsidRPr="00B16389">
        <w:rPr>
          <w:rFonts w:ascii="Times New Roman" w:hAnsi="Times New Roman" w:cs="Times New Roman"/>
        </w:rPr>
        <w:t>Vol</w:t>
      </w:r>
      <w:r>
        <w:rPr>
          <w:rFonts w:ascii="Times New Roman" w:hAnsi="Times New Roman" w:cs="Times New Roman"/>
        </w:rPr>
        <w:t xml:space="preserve">ume, </w:t>
      </w:r>
      <w:r w:rsidRPr="00B16389">
        <w:rPr>
          <w:rFonts w:ascii="Times New Roman" w:hAnsi="Times New Roman" w:cs="Times New Roman"/>
        </w:rPr>
        <w:t>18 No</w:t>
      </w:r>
      <w:r>
        <w:rPr>
          <w:rFonts w:ascii="Times New Roman" w:hAnsi="Times New Roman" w:cs="Times New Roman"/>
        </w:rPr>
        <w:t xml:space="preserve">mor </w:t>
      </w:r>
      <w:r w:rsidRPr="00B16389">
        <w:rPr>
          <w:rFonts w:ascii="Times New Roman" w:hAnsi="Times New Roman" w:cs="Times New Roman"/>
        </w:rPr>
        <w:t>2</w:t>
      </w:r>
      <w:r>
        <w:rPr>
          <w:rFonts w:ascii="Times New Roman" w:hAnsi="Times New Roman" w:cs="Times New Roman"/>
        </w:rPr>
        <w:t xml:space="preserve">, Juli-Desember </w:t>
      </w:r>
      <w:r w:rsidRPr="00B16389">
        <w:rPr>
          <w:rFonts w:ascii="Times New Roman" w:hAnsi="Times New Roman" w:cs="Times New Roman"/>
        </w:rPr>
        <w:t>2017</w:t>
      </w:r>
    </w:p>
  </w:footnote>
  <w:footnote w:id="10">
    <w:p w:rsidR="0020749C" w:rsidRDefault="0020749C">
      <w:pPr>
        <w:pStyle w:val="FootnoteText"/>
      </w:pPr>
      <w:r>
        <w:t xml:space="preserve">          </w:t>
      </w:r>
      <w:r>
        <w:rPr>
          <w:rStyle w:val="FootnoteReference"/>
        </w:rPr>
        <w:footnoteRef/>
      </w:r>
      <w:r>
        <w:t xml:space="preserve"> </w:t>
      </w:r>
      <w:r w:rsidRPr="00AF7860">
        <w:rPr>
          <w:rFonts w:ascii="Times New Roman" w:hAnsi="Times New Roman" w:cs="Times New Roman"/>
        </w:rPr>
        <w:t>iska Lis Sulistiani , Pembaruan Hukum Wakaf Di Inonesia, ( Bandung PT Refika Aditama, Februari 2017),</w:t>
      </w:r>
      <w:r>
        <w:rPr>
          <w:rFonts w:ascii="Times New Roman" w:hAnsi="Times New Roman" w:cs="Times New Roman"/>
        </w:rPr>
        <w:t xml:space="preserve"> Halam 49-55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389"/>
    <w:rsid w:val="00135518"/>
    <w:rsid w:val="0020749C"/>
    <w:rsid w:val="00225B0E"/>
    <w:rsid w:val="00B16389"/>
    <w:rsid w:val="00F26CD0"/>
    <w:rsid w:val="00FB44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48E02-81AF-4000-94E4-8DBA1BCB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163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6389"/>
    <w:rPr>
      <w:sz w:val="20"/>
      <w:szCs w:val="20"/>
    </w:rPr>
  </w:style>
  <w:style w:type="character" w:styleId="FootnoteReference">
    <w:name w:val="footnote reference"/>
    <w:basedOn w:val="DefaultParagraphFont"/>
    <w:uiPriority w:val="99"/>
    <w:semiHidden/>
    <w:unhideWhenUsed/>
    <w:rsid w:val="00B16389"/>
    <w:rPr>
      <w:vertAlign w:val="superscript"/>
    </w:rPr>
  </w:style>
  <w:style w:type="character" w:styleId="Hyperlink">
    <w:name w:val="Hyperlink"/>
    <w:basedOn w:val="DefaultParagraphFont"/>
    <w:uiPriority w:val="99"/>
    <w:unhideWhenUsed/>
    <w:rsid w:val="002074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repository.unpas.ac.id/37507/1/H.%20BAB%203.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13</Pages>
  <Words>4235</Words>
  <Characters>24144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2019-12-31T13:45:00Z</dcterms:created>
  <dcterms:modified xsi:type="dcterms:W3CDTF">2019-12-31T14:49:00Z</dcterms:modified>
</cp:coreProperties>
</file>